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outlineLvl w:val="1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44"/>
          <w:szCs w:val="44"/>
          <w:u w:val="none"/>
        </w:rPr>
        <w:t>2021年中山市中央渔业发展补助资金（集中连片内陆养殖池塘标准化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44"/>
          <w:szCs w:val="44"/>
          <w:u w:val="none"/>
        </w:rPr>
        <w:t>改造和尾水治理）（第一批）分配表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936"/>
        <w:gridCol w:w="3863"/>
        <w:gridCol w:w="3335"/>
        <w:gridCol w:w="1655"/>
        <w:gridCol w:w="1460"/>
        <w:gridCol w:w="2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镇(街)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分配单位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功能类科目名称及代码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金额(万元)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中山市西区集体资产经营有限公司</w:t>
            </w:r>
          </w:p>
        </w:tc>
        <w:tc>
          <w:tcPr>
            <w:tcW w:w="3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2021年中央财政渔业发展补助资金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[2130148]成品油价格改革对渔业的补贴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集中连片内陆养殖池塘标准化改造和尾水治理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TW" w:bidi="zh-TW"/>
              </w:rPr>
              <w:t>684.05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中山市横栏镇宝裕股份合作经济联合社</w:t>
            </w:r>
          </w:p>
        </w:tc>
        <w:tc>
          <w:tcPr>
            <w:tcW w:w="33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集中连片内陆养殖池塘标准化改造和尾水治理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TW" w:bidi="zh-TW"/>
              </w:rPr>
              <w:t>1012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中山市南朗街道崖口村民委员会</w:t>
            </w:r>
          </w:p>
        </w:tc>
        <w:tc>
          <w:tcPr>
            <w:tcW w:w="3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集中连片内陆养殖池塘标准化改造和尾水治理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TW" w:bidi="zh-TW"/>
              </w:rPr>
              <w:t>2093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38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中山市黄圃镇农业服务中心</w:t>
            </w:r>
          </w:p>
        </w:tc>
        <w:tc>
          <w:tcPr>
            <w:tcW w:w="33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石军村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集中连片内陆养殖池塘标准化改造和尾水治理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TW" w:bidi="zh-TW"/>
              </w:rPr>
              <w:t>714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TW" w:bidi="zh-TW"/>
              </w:rPr>
              <w:t>4503.05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02" w:right="306" w:bottom="102" w:left="30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CC1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2021-09-29T03:34:16Z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