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102" w:rsidRDefault="00E01102" w:rsidP="00E01102">
      <w:pPr>
        <w:spacing w:line="500" w:lineRule="exact"/>
        <w:rPr>
          <w:rFonts w:ascii="黑体" w:eastAsia="黑体" w:hAnsi="黑体" w:cs="黑体" w:hint="eastAsia"/>
          <w:color w:val="000000"/>
          <w:kern w:val="0"/>
          <w:sz w:val="32"/>
          <w:szCs w:val="32"/>
          <w:lang w:bidi="ar"/>
        </w:rPr>
      </w:pPr>
      <w:r>
        <w:rPr>
          <w:rFonts w:ascii="黑体" w:eastAsia="黑体" w:hAnsi="黑体" w:cs="黑体" w:hint="eastAsia"/>
          <w:color w:val="000000"/>
          <w:kern w:val="0"/>
          <w:sz w:val="32"/>
          <w:szCs w:val="32"/>
          <w:lang w:bidi="ar"/>
        </w:rPr>
        <w:t>附件1</w:t>
      </w:r>
    </w:p>
    <w:p w:rsidR="00E01102" w:rsidRDefault="00E01102" w:rsidP="00E01102">
      <w:pPr>
        <w:adjustRightInd w:val="0"/>
        <w:snapToGrid w:val="0"/>
        <w:spacing w:line="500" w:lineRule="exact"/>
        <w:jc w:val="center"/>
        <w:outlineLvl w:val="0"/>
        <w:rPr>
          <w:rFonts w:ascii="方正小标宋_GBK" w:eastAsia="方正小标宋_GBK" w:hAnsi="方正小标宋_GBK" w:cs="方正小标宋_GBK" w:hint="eastAsia"/>
          <w:bCs/>
          <w:kern w:val="44"/>
          <w:sz w:val="44"/>
          <w:szCs w:val="44"/>
          <w:lang w:bidi="ar"/>
        </w:rPr>
      </w:pPr>
    </w:p>
    <w:p w:rsidR="00E01102" w:rsidRDefault="00E01102" w:rsidP="00E01102">
      <w:pPr>
        <w:adjustRightInd w:val="0"/>
        <w:snapToGrid w:val="0"/>
        <w:spacing w:line="500" w:lineRule="exact"/>
        <w:jc w:val="center"/>
        <w:outlineLvl w:val="0"/>
        <w:rPr>
          <w:rFonts w:ascii="方正小标宋_GBK" w:eastAsia="方正小标宋_GBK" w:hAnsi="方正小标宋_GBK" w:cs="方正小标宋_GBK" w:hint="eastAsia"/>
          <w:bCs/>
          <w:kern w:val="44"/>
          <w:sz w:val="44"/>
          <w:szCs w:val="44"/>
          <w:lang w:bidi="ar"/>
        </w:rPr>
      </w:pPr>
      <w:bookmarkStart w:id="0" w:name="_GoBack"/>
      <w:r>
        <w:rPr>
          <w:rFonts w:ascii="方正小标宋_GBK" w:eastAsia="方正小标宋_GBK" w:hAnsi="方正小标宋_GBK" w:cs="方正小标宋_GBK" w:hint="eastAsia"/>
          <w:bCs/>
          <w:kern w:val="44"/>
          <w:sz w:val="44"/>
          <w:szCs w:val="44"/>
          <w:lang w:bidi="ar"/>
        </w:rPr>
        <w:t>中山市动物检疫监督能力提升行动任务清单</w:t>
      </w:r>
    </w:p>
    <w:bookmarkEnd w:id="0"/>
    <w:p w:rsidR="00E01102" w:rsidRDefault="00E01102" w:rsidP="00E01102">
      <w:pPr>
        <w:rPr>
          <w:rFonts w:hint="eastAsia"/>
        </w:rPr>
      </w:pPr>
    </w:p>
    <w:p w:rsidR="00E01102" w:rsidRDefault="00E01102" w:rsidP="00E01102">
      <w:pPr>
        <w:adjustRightInd w:val="0"/>
        <w:snapToGrid w:val="0"/>
        <w:spacing w:line="500" w:lineRule="exact"/>
        <w:jc w:val="center"/>
        <w:outlineLvl w:val="0"/>
        <w:rPr>
          <w:rFonts w:ascii="方正小标宋简体" w:eastAsia="方正小标宋简体" w:hAnsi="方正小标宋简体" w:cs="方正小标宋简体" w:hint="eastAsia"/>
          <w:bCs/>
          <w:kern w:val="44"/>
          <w:sz w:val="44"/>
          <w:szCs w:val="44"/>
          <w:lang w:bidi="ar"/>
        </w:rPr>
      </w:pPr>
    </w:p>
    <w:tbl>
      <w:tblPr>
        <w:tblStyle w:val="a3"/>
        <w:tblW w:w="0" w:type="auto"/>
        <w:jc w:val="center"/>
        <w:tblInd w:w="0" w:type="dxa"/>
        <w:tblLayout w:type="fixed"/>
        <w:tblCellMar>
          <w:top w:w="0" w:type="dxa"/>
          <w:left w:w="108" w:type="dxa"/>
          <w:bottom w:w="0" w:type="dxa"/>
          <w:right w:w="108" w:type="dxa"/>
        </w:tblCellMar>
        <w:tblLook w:val="0000" w:firstRow="0" w:lastRow="0" w:firstColumn="0" w:lastColumn="0" w:noHBand="0" w:noVBand="0"/>
      </w:tblPr>
      <w:tblGrid>
        <w:gridCol w:w="706"/>
        <w:gridCol w:w="959"/>
        <w:gridCol w:w="2484"/>
        <w:gridCol w:w="8190"/>
        <w:gridCol w:w="2752"/>
      </w:tblGrid>
      <w:tr w:rsidR="00E01102" w:rsidTr="006426BE">
        <w:trPr>
          <w:trHeight w:val="615"/>
          <w:jc w:val="center"/>
        </w:trPr>
        <w:tc>
          <w:tcPr>
            <w:tcW w:w="706" w:type="dxa"/>
            <w:vAlign w:val="center"/>
          </w:tcPr>
          <w:p w:rsidR="00E01102" w:rsidRDefault="00E01102" w:rsidP="006426BE">
            <w:pPr>
              <w:widowControl/>
              <w:spacing w:line="400" w:lineRule="exact"/>
              <w:jc w:val="center"/>
              <w:textAlignment w:val="center"/>
              <w:rPr>
                <w:rFonts w:ascii="黑体" w:eastAsia="黑体" w:hAnsi="黑体" w:cs="黑体" w:hint="eastAsia"/>
                <w:color w:val="000000"/>
                <w:sz w:val="24"/>
                <w:lang w:bidi="ar"/>
              </w:rPr>
            </w:pPr>
            <w:r>
              <w:rPr>
                <w:rFonts w:ascii="黑体" w:eastAsia="黑体" w:hAnsi="黑体" w:cs="黑体" w:hint="eastAsia"/>
                <w:color w:val="000000"/>
                <w:sz w:val="24"/>
                <w:lang w:bidi="ar"/>
              </w:rPr>
              <w:t>序号</w:t>
            </w:r>
          </w:p>
        </w:tc>
        <w:tc>
          <w:tcPr>
            <w:tcW w:w="11633" w:type="dxa"/>
            <w:gridSpan w:val="3"/>
            <w:vAlign w:val="center"/>
          </w:tcPr>
          <w:p w:rsidR="00E01102" w:rsidRDefault="00E01102" w:rsidP="006426BE">
            <w:pPr>
              <w:widowControl/>
              <w:spacing w:line="400" w:lineRule="exact"/>
              <w:jc w:val="center"/>
              <w:textAlignment w:val="center"/>
              <w:rPr>
                <w:rFonts w:ascii="黑体" w:eastAsia="黑体" w:hAnsi="黑体" w:cs="黑体" w:hint="eastAsia"/>
                <w:color w:val="000000"/>
                <w:sz w:val="24"/>
                <w:lang w:bidi="ar"/>
              </w:rPr>
            </w:pPr>
            <w:r>
              <w:rPr>
                <w:rFonts w:ascii="黑体" w:eastAsia="黑体" w:hAnsi="黑体" w:cs="黑体" w:hint="eastAsia"/>
                <w:color w:val="000000"/>
                <w:sz w:val="24"/>
                <w:lang w:bidi="ar"/>
              </w:rPr>
              <w:t>工作内容</w:t>
            </w:r>
          </w:p>
        </w:tc>
        <w:tc>
          <w:tcPr>
            <w:tcW w:w="2752" w:type="dxa"/>
            <w:vAlign w:val="center"/>
          </w:tcPr>
          <w:p w:rsidR="00E01102" w:rsidRDefault="00E01102" w:rsidP="006426BE">
            <w:pPr>
              <w:widowControl/>
              <w:spacing w:line="400" w:lineRule="exact"/>
              <w:jc w:val="center"/>
              <w:textAlignment w:val="center"/>
              <w:rPr>
                <w:rFonts w:ascii="黑体" w:eastAsia="黑体" w:hAnsi="黑体" w:cs="黑体" w:hint="eastAsia"/>
                <w:color w:val="000000"/>
                <w:sz w:val="24"/>
                <w:lang w:bidi="ar"/>
              </w:rPr>
            </w:pPr>
            <w:r>
              <w:rPr>
                <w:rFonts w:ascii="黑体" w:eastAsia="黑体" w:hAnsi="黑体" w:cs="黑体" w:hint="eastAsia"/>
                <w:color w:val="000000"/>
                <w:sz w:val="24"/>
                <w:lang w:bidi="ar"/>
              </w:rPr>
              <w:t>责任单位</w:t>
            </w:r>
          </w:p>
        </w:tc>
      </w:tr>
      <w:tr w:rsidR="00E01102" w:rsidTr="006426BE">
        <w:trPr>
          <w:trHeight w:val="1325"/>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1</w:t>
            </w:r>
          </w:p>
        </w:tc>
        <w:tc>
          <w:tcPr>
            <w:tcW w:w="959" w:type="dxa"/>
            <w:vMerge w:val="restart"/>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完善工作机制</w:t>
            </w:r>
            <w:r>
              <w:rPr>
                <w:rFonts w:eastAsia="仿宋_GB2312"/>
                <w:bCs/>
                <w:kern w:val="44"/>
                <w:sz w:val="28"/>
                <w:szCs w:val="28"/>
                <w:lang w:bidi="ar"/>
              </w:rPr>
              <w:t>,</w:t>
            </w:r>
            <w:r>
              <w:rPr>
                <w:rFonts w:eastAsia="仿宋_GB2312"/>
                <w:bCs/>
                <w:kern w:val="44"/>
                <w:sz w:val="28"/>
                <w:szCs w:val="28"/>
                <w:lang w:bidi="ar"/>
              </w:rPr>
              <w:t>提升运行效能</w:t>
            </w:r>
          </w:p>
        </w:tc>
        <w:tc>
          <w:tcPr>
            <w:tcW w:w="2484" w:type="dxa"/>
            <w:vAlign w:val="center"/>
          </w:tcPr>
          <w:p w:rsidR="00E01102" w:rsidRDefault="00E01102" w:rsidP="006426BE">
            <w:pPr>
              <w:widowControl/>
              <w:spacing w:line="400" w:lineRule="exact"/>
              <w:rPr>
                <w:rFonts w:eastAsia="仿宋_GB2312"/>
                <w:bCs/>
                <w:kern w:val="44"/>
                <w:sz w:val="28"/>
                <w:szCs w:val="28"/>
                <w:lang w:bidi="ar"/>
              </w:rPr>
            </w:pPr>
            <w:r>
              <w:rPr>
                <w:rFonts w:eastAsia="仿宋_GB2312"/>
                <w:bCs/>
                <w:sz w:val="28"/>
                <w:szCs w:val="28"/>
              </w:rPr>
              <w:t>完善市、</w:t>
            </w:r>
            <w:proofErr w:type="gramStart"/>
            <w:r>
              <w:rPr>
                <w:rFonts w:eastAsia="仿宋_GB2312"/>
                <w:bCs/>
                <w:sz w:val="28"/>
                <w:szCs w:val="28"/>
              </w:rPr>
              <w:t>镇动物</w:t>
            </w:r>
            <w:proofErr w:type="gramEnd"/>
            <w:r>
              <w:rPr>
                <w:rFonts w:eastAsia="仿宋_GB2312"/>
                <w:bCs/>
                <w:sz w:val="28"/>
                <w:szCs w:val="28"/>
              </w:rPr>
              <w:t>检疫业务衔接机制</w:t>
            </w:r>
          </w:p>
        </w:tc>
        <w:tc>
          <w:tcPr>
            <w:tcW w:w="8190" w:type="dxa"/>
            <w:vAlign w:val="center"/>
          </w:tcPr>
          <w:p w:rsidR="00E01102" w:rsidRDefault="00E01102" w:rsidP="006426BE">
            <w:pPr>
              <w:widowControl/>
              <w:spacing w:line="400" w:lineRule="exact"/>
              <w:rPr>
                <w:rFonts w:eastAsia="仿宋_GB2312"/>
                <w:bCs/>
                <w:kern w:val="44"/>
                <w:sz w:val="28"/>
                <w:szCs w:val="28"/>
                <w:lang w:bidi="ar"/>
              </w:rPr>
            </w:pPr>
            <w:r>
              <w:rPr>
                <w:rFonts w:eastAsia="仿宋_GB2312"/>
                <w:bCs/>
                <w:sz w:val="28"/>
                <w:szCs w:val="28"/>
              </w:rPr>
              <w:t>明确市、</w:t>
            </w:r>
            <w:proofErr w:type="gramStart"/>
            <w:r>
              <w:rPr>
                <w:rFonts w:eastAsia="仿宋_GB2312"/>
                <w:bCs/>
                <w:sz w:val="28"/>
                <w:szCs w:val="28"/>
              </w:rPr>
              <w:t>镇动物</w:t>
            </w:r>
            <w:proofErr w:type="gramEnd"/>
            <w:r>
              <w:rPr>
                <w:rFonts w:eastAsia="仿宋_GB2312"/>
                <w:bCs/>
                <w:sz w:val="28"/>
                <w:szCs w:val="28"/>
              </w:rPr>
              <w:t>检疫具体工作的承担单位及业务范围，确保动物检疫职责不落空、动物检疫工作有人干。</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市农业农村局屠宰与检疫管理科、市动物疫病预防控制中心，各镇</w:t>
            </w:r>
            <w:proofErr w:type="gramStart"/>
            <w:r>
              <w:rPr>
                <w:rFonts w:eastAsia="仿宋_GB2312"/>
                <w:bCs/>
                <w:sz w:val="24"/>
              </w:rPr>
              <w:t>街农业</w:t>
            </w:r>
            <w:proofErr w:type="gramEnd"/>
            <w:r>
              <w:rPr>
                <w:rFonts w:eastAsia="仿宋_GB2312"/>
                <w:bCs/>
                <w:sz w:val="24"/>
              </w:rPr>
              <w:t>农村部门</w:t>
            </w:r>
          </w:p>
        </w:tc>
      </w:tr>
      <w:tr w:rsidR="00E01102" w:rsidTr="006426BE">
        <w:trPr>
          <w:trHeight w:val="1340"/>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2</w:t>
            </w:r>
          </w:p>
        </w:tc>
        <w:tc>
          <w:tcPr>
            <w:tcW w:w="959" w:type="dxa"/>
            <w:vMerge/>
            <w:vAlign w:val="center"/>
          </w:tcPr>
          <w:p w:rsidR="00E01102" w:rsidRDefault="00E01102" w:rsidP="006426BE">
            <w:pPr>
              <w:widowControl/>
              <w:spacing w:line="400" w:lineRule="exact"/>
              <w:jc w:val="center"/>
              <w:outlineLvl w:val="0"/>
              <w:rPr>
                <w:rFonts w:eastAsia="仿宋_GB2312"/>
                <w:bCs/>
                <w:kern w:val="44"/>
                <w:sz w:val="28"/>
                <w:szCs w:val="28"/>
                <w:lang w:bidi="ar"/>
              </w:rPr>
            </w:pPr>
          </w:p>
        </w:tc>
        <w:tc>
          <w:tcPr>
            <w:tcW w:w="2484" w:type="dxa"/>
            <w:vAlign w:val="center"/>
          </w:tcPr>
          <w:p w:rsidR="00E01102" w:rsidRDefault="00E01102" w:rsidP="006426BE">
            <w:pPr>
              <w:widowControl/>
              <w:spacing w:line="400" w:lineRule="exact"/>
              <w:rPr>
                <w:rFonts w:eastAsia="仿宋_GB2312"/>
                <w:bCs/>
                <w:kern w:val="44"/>
                <w:sz w:val="28"/>
                <w:szCs w:val="28"/>
                <w:lang w:bidi="ar"/>
              </w:rPr>
            </w:pPr>
            <w:r>
              <w:rPr>
                <w:rFonts w:eastAsia="仿宋_GB2312"/>
                <w:bCs/>
                <w:sz w:val="28"/>
                <w:szCs w:val="28"/>
              </w:rPr>
              <w:t>完善动物检疫与监督、执法工作协同机制</w:t>
            </w:r>
          </w:p>
        </w:tc>
        <w:tc>
          <w:tcPr>
            <w:tcW w:w="8190" w:type="dxa"/>
            <w:vAlign w:val="center"/>
          </w:tcPr>
          <w:p w:rsidR="00E01102" w:rsidRDefault="00E01102" w:rsidP="006426BE">
            <w:pPr>
              <w:widowControl/>
              <w:spacing w:line="400" w:lineRule="exact"/>
              <w:rPr>
                <w:rFonts w:eastAsia="仿宋_GB2312"/>
                <w:bCs/>
                <w:kern w:val="44"/>
                <w:sz w:val="28"/>
                <w:szCs w:val="28"/>
                <w:lang w:bidi="ar"/>
              </w:rPr>
            </w:pPr>
            <w:r>
              <w:rPr>
                <w:rFonts w:eastAsia="仿宋_GB2312"/>
                <w:bCs/>
                <w:sz w:val="28"/>
                <w:szCs w:val="28"/>
              </w:rPr>
              <w:t>加强农业农村、动物检疫、综合行政执法等部门的沟通协调，建立动物检疫监督执法全程紧密协作机制，明确违法违规线索移交程序、时限、处理情况反馈等要求。</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市农业农村局屠宰与检疫管理科、执法二科</w:t>
            </w:r>
          </w:p>
        </w:tc>
      </w:tr>
      <w:tr w:rsidR="00E01102" w:rsidTr="006426BE">
        <w:trPr>
          <w:trHeight w:val="1325"/>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3</w:t>
            </w:r>
          </w:p>
        </w:tc>
        <w:tc>
          <w:tcPr>
            <w:tcW w:w="959" w:type="dxa"/>
            <w:vMerge/>
            <w:vAlign w:val="center"/>
          </w:tcPr>
          <w:p w:rsidR="00E01102" w:rsidRDefault="00E01102" w:rsidP="006426BE">
            <w:pPr>
              <w:widowControl/>
              <w:spacing w:line="400" w:lineRule="exact"/>
              <w:jc w:val="center"/>
              <w:outlineLvl w:val="0"/>
              <w:rPr>
                <w:rFonts w:eastAsia="仿宋_GB2312"/>
                <w:bCs/>
                <w:kern w:val="44"/>
                <w:sz w:val="28"/>
                <w:szCs w:val="28"/>
                <w:lang w:bidi="ar"/>
              </w:rPr>
            </w:pPr>
          </w:p>
        </w:tc>
        <w:tc>
          <w:tcPr>
            <w:tcW w:w="2484" w:type="dxa"/>
            <w:vAlign w:val="center"/>
          </w:tcPr>
          <w:p w:rsidR="00E01102" w:rsidRDefault="00E01102" w:rsidP="006426BE">
            <w:pPr>
              <w:widowControl/>
              <w:spacing w:line="400" w:lineRule="exact"/>
              <w:rPr>
                <w:rFonts w:eastAsia="仿宋_GB2312"/>
                <w:bCs/>
                <w:kern w:val="44"/>
                <w:sz w:val="28"/>
                <w:szCs w:val="28"/>
                <w:lang w:bidi="ar"/>
              </w:rPr>
            </w:pPr>
            <w:r>
              <w:rPr>
                <w:rFonts w:eastAsia="仿宋_GB2312"/>
                <w:bCs/>
                <w:sz w:val="28"/>
                <w:szCs w:val="28"/>
              </w:rPr>
              <w:t>完善动物检疫监督与动物疫病防控协作机制</w:t>
            </w:r>
          </w:p>
        </w:tc>
        <w:tc>
          <w:tcPr>
            <w:tcW w:w="8190"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依托动物疫病预防控制机构技术优势和资源优势，全面掌握动物防疫状况，及时了解动物免疫、疫病监测等情况及动物健康水平，强化动物检疫监督工作技术支持。</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市农业农村局屠宰与检疫管理科、畜牧兽医科、市动物疫病预防控制中心</w:t>
            </w:r>
          </w:p>
        </w:tc>
      </w:tr>
      <w:tr w:rsidR="00E01102" w:rsidTr="006426BE">
        <w:trPr>
          <w:trHeight w:val="1310"/>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lastRenderedPageBreak/>
              <w:t>4</w:t>
            </w:r>
          </w:p>
        </w:tc>
        <w:tc>
          <w:tcPr>
            <w:tcW w:w="959" w:type="dxa"/>
            <w:vMerge w:val="restart"/>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加强队伍建设</w:t>
            </w:r>
            <w:r>
              <w:rPr>
                <w:rFonts w:eastAsia="仿宋_GB2312"/>
                <w:bCs/>
                <w:kern w:val="44"/>
                <w:sz w:val="28"/>
                <w:szCs w:val="28"/>
                <w:lang w:bidi="ar"/>
              </w:rPr>
              <w:t>,</w:t>
            </w:r>
            <w:r>
              <w:rPr>
                <w:rFonts w:eastAsia="仿宋_GB2312"/>
                <w:bCs/>
                <w:kern w:val="44"/>
                <w:sz w:val="28"/>
                <w:szCs w:val="28"/>
                <w:lang w:bidi="ar"/>
              </w:rPr>
              <w:t>提升</w:t>
            </w:r>
            <w:proofErr w:type="gramStart"/>
            <w:r>
              <w:rPr>
                <w:rFonts w:eastAsia="仿宋_GB2312"/>
                <w:bCs/>
                <w:kern w:val="44"/>
                <w:sz w:val="28"/>
                <w:szCs w:val="28"/>
                <w:lang w:bidi="ar"/>
              </w:rPr>
              <w:t>履</w:t>
            </w:r>
            <w:proofErr w:type="gramEnd"/>
            <w:r>
              <w:rPr>
                <w:rFonts w:eastAsia="仿宋_GB2312"/>
                <w:bCs/>
                <w:kern w:val="44"/>
                <w:sz w:val="28"/>
                <w:szCs w:val="28"/>
                <w:lang w:bidi="ar"/>
              </w:rPr>
              <w:t>职能力</w:t>
            </w:r>
          </w:p>
        </w:tc>
        <w:tc>
          <w:tcPr>
            <w:tcW w:w="2484" w:type="dxa"/>
            <w:vMerge w:val="restart"/>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加强官方兽医信息管理</w:t>
            </w:r>
          </w:p>
        </w:tc>
        <w:tc>
          <w:tcPr>
            <w:tcW w:w="8190"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开展全市官方兽医在岗情况调查摸底，及时登录兽医卫生综合信息平台完善人员信息，按要求新增新任命官方兽医信息，及时注销已调离动物检疫岗位人员的官方兽医资格。</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市农业农村局畜牧兽医科，各镇</w:t>
            </w:r>
            <w:proofErr w:type="gramStart"/>
            <w:r>
              <w:rPr>
                <w:rFonts w:eastAsia="仿宋_GB2312"/>
                <w:bCs/>
                <w:sz w:val="24"/>
              </w:rPr>
              <w:t>街农业</w:t>
            </w:r>
            <w:proofErr w:type="gramEnd"/>
            <w:r>
              <w:rPr>
                <w:rFonts w:eastAsia="仿宋_GB2312"/>
                <w:bCs/>
                <w:sz w:val="24"/>
              </w:rPr>
              <w:t>农村部门</w:t>
            </w:r>
          </w:p>
        </w:tc>
      </w:tr>
      <w:tr w:rsidR="00E01102" w:rsidTr="006426BE">
        <w:trPr>
          <w:trHeight w:val="1310"/>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5</w:t>
            </w:r>
          </w:p>
        </w:tc>
        <w:tc>
          <w:tcPr>
            <w:tcW w:w="959" w:type="dxa"/>
            <w:vMerge/>
            <w:vAlign w:val="center"/>
          </w:tcPr>
          <w:p w:rsidR="00E01102" w:rsidRDefault="00E01102" w:rsidP="006426BE">
            <w:pPr>
              <w:widowControl/>
              <w:spacing w:line="400" w:lineRule="exact"/>
              <w:jc w:val="center"/>
              <w:outlineLvl w:val="0"/>
              <w:rPr>
                <w:rFonts w:eastAsia="仿宋_GB2312"/>
                <w:bCs/>
                <w:kern w:val="44"/>
                <w:sz w:val="28"/>
                <w:szCs w:val="28"/>
                <w:lang w:bidi="ar"/>
              </w:rPr>
            </w:pPr>
          </w:p>
        </w:tc>
        <w:tc>
          <w:tcPr>
            <w:tcW w:w="2484" w:type="dxa"/>
            <w:vMerge/>
            <w:vAlign w:val="center"/>
          </w:tcPr>
          <w:p w:rsidR="00E01102" w:rsidRDefault="00E01102" w:rsidP="006426BE">
            <w:pPr>
              <w:widowControl/>
              <w:spacing w:line="400" w:lineRule="exact"/>
              <w:rPr>
                <w:rFonts w:eastAsia="仿宋_GB2312"/>
                <w:bCs/>
                <w:sz w:val="28"/>
                <w:szCs w:val="28"/>
              </w:rPr>
            </w:pPr>
          </w:p>
        </w:tc>
        <w:tc>
          <w:tcPr>
            <w:tcW w:w="8190"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加强动物检疫证明电子出证账号管理，明确官方兽医及出证人员的权限和责任，严防转借、盗用。</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市农业农村局屠宰与检疫管理科、市动物疫病预防控制中心，各镇</w:t>
            </w:r>
            <w:proofErr w:type="gramStart"/>
            <w:r>
              <w:rPr>
                <w:rFonts w:eastAsia="仿宋_GB2312"/>
                <w:bCs/>
                <w:sz w:val="24"/>
              </w:rPr>
              <w:t>街农业</w:t>
            </w:r>
            <w:proofErr w:type="gramEnd"/>
            <w:r>
              <w:rPr>
                <w:rFonts w:eastAsia="仿宋_GB2312"/>
                <w:bCs/>
                <w:sz w:val="24"/>
              </w:rPr>
              <w:t>农村部门</w:t>
            </w:r>
          </w:p>
        </w:tc>
      </w:tr>
      <w:tr w:rsidR="00E01102" w:rsidTr="006426BE">
        <w:trPr>
          <w:trHeight w:val="1385"/>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6</w:t>
            </w:r>
          </w:p>
        </w:tc>
        <w:tc>
          <w:tcPr>
            <w:tcW w:w="959" w:type="dxa"/>
            <w:vMerge/>
            <w:vAlign w:val="center"/>
          </w:tcPr>
          <w:p w:rsidR="00E01102" w:rsidRDefault="00E01102" w:rsidP="006426BE">
            <w:pPr>
              <w:widowControl/>
              <w:spacing w:line="400" w:lineRule="exact"/>
              <w:jc w:val="center"/>
              <w:outlineLvl w:val="0"/>
              <w:rPr>
                <w:rFonts w:eastAsia="仿宋_GB2312"/>
                <w:bCs/>
                <w:kern w:val="44"/>
                <w:sz w:val="28"/>
                <w:szCs w:val="28"/>
                <w:lang w:bidi="ar"/>
              </w:rPr>
            </w:pPr>
          </w:p>
        </w:tc>
        <w:tc>
          <w:tcPr>
            <w:tcW w:w="2484" w:type="dxa"/>
            <w:vMerge w:val="restart"/>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加强官方兽医培训</w:t>
            </w:r>
          </w:p>
        </w:tc>
        <w:tc>
          <w:tcPr>
            <w:tcW w:w="8190"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组织开展《动物防疫法》《广东省动物防疫条例》等有关动物检疫规定培训，市、镇每年至少组织一次辖区内相关人员的业务培训。</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市农业农村局屠宰与检疫管理科、市动物疫病预防控制中心，各镇</w:t>
            </w:r>
            <w:proofErr w:type="gramStart"/>
            <w:r>
              <w:rPr>
                <w:rFonts w:eastAsia="仿宋_GB2312"/>
                <w:bCs/>
                <w:sz w:val="24"/>
              </w:rPr>
              <w:t>街农业</w:t>
            </w:r>
            <w:proofErr w:type="gramEnd"/>
            <w:r>
              <w:rPr>
                <w:rFonts w:eastAsia="仿宋_GB2312"/>
                <w:bCs/>
                <w:sz w:val="24"/>
              </w:rPr>
              <w:t>农村部门</w:t>
            </w:r>
          </w:p>
        </w:tc>
      </w:tr>
      <w:tr w:rsidR="00E01102" w:rsidTr="006426BE">
        <w:trPr>
          <w:trHeight w:val="955"/>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7</w:t>
            </w:r>
          </w:p>
        </w:tc>
        <w:tc>
          <w:tcPr>
            <w:tcW w:w="959" w:type="dxa"/>
            <w:vMerge/>
            <w:vAlign w:val="center"/>
          </w:tcPr>
          <w:p w:rsidR="00E01102" w:rsidRDefault="00E01102" w:rsidP="006426BE">
            <w:pPr>
              <w:widowControl/>
              <w:spacing w:line="400" w:lineRule="exact"/>
              <w:jc w:val="center"/>
              <w:outlineLvl w:val="0"/>
              <w:rPr>
                <w:rFonts w:eastAsia="仿宋_GB2312"/>
                <w:bCs/>
                <w:kern w:val="44"/>
                <w:sz w:val="28"/>
                <w:szCs w:val="28"/>
                <w:lang w:bidi="ar"/>
              </w:rPr>
            </w:pPr>
          </w:p>
        </w:tc>
        <w:tc>
          <w:tcPr>
            <w:tcW w:w="2484" w:type="dxa"/>
            <w:vMerge/>
            <w:vAlign w:val="center"/>
          </w:tcPr>
          <w:p w:rsidR="00E01102" w:rsidRDefault="00E01102" w:rsidP="006426BE">
            <w:pPr>
              <w:widowControl/>
              <w:spacing w:line="400" w:lineRule="exact"/>
              <w:rPr>
                <w:rFonts w:eastAsia="仿宋_GB2312"/>
                <w:bCs/>
                <w:sz w:val="28"/>
                <w:szCs w:val="28"/>
              </w:rPr>
            </w:pPr>
          </w:p>
        </w:tc>
        <w:tc>
          <w:tcPr>
            <w:tcW w:w="8190"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组织全市官方兽医参加全国官方兽医及动物卫生监督执法人员网络考试。</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市农业农村局畜牧兽医科，各镇</w:t>
            </w:r>
            <w:proofErr w:type="gramStart"/>
            <w:r>
              <w:rPr>
                <w:rFonts w:eastAsia="仿宋_GB2312"/>
                <w:bCs/>
                <w:sz w:val="24"/>
              </w:rPr>
              <w:t>街农业</w:t>
            </w:r>
            <w:proofErr w:type="gramEnd"/>
            <w:r>
              <w:rPr>
                <w:rFonts w:eastAsia="仿宋_GB2312"/>
                <w:bCs/>
                <w:sz w:val="24"/>
              </w:rPr>
              <w:t>农村部门</w:t>
            </w:r>
          </w:p>
        </w:tc>
      </w:tr>
      <w:tr w:rsidR="00E01102" w:rsidTr="006426BE">
        <w:trPr>
          <w:trHeight w:val="1400"/>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8</w:t>
            </w:r>
          </w:p>
        </w:tc>
        <w:tc>
          <w:tcPr>
            <w:tcW w:w="959" w:type="dxa"/>
            <w:vMerge/>
            <w:vAlign w:val="center"/>
          </w:tcPr>
          <w:p w:rsidR="00E01102" w:rsidRDefault="00E01102" w:rsidP="006426BE">
            <w:pPr>
              <w:widowControl/>
              <w:spacing w:line="400" w:lineRule="exact"/>
              <w:jc w:val="center"/>
              <w:outlineLvl w:val="0"/>
              <w:rPr>
                <w:rFonts w:eastAsia="仿宋_GB2312"/>
                <w:bCs/>
                <w:kern w:val="44"/>
                <w:sz w:val="28"/>
                <w:szCs w:val="28"/>
                <w:lang w:bidi="ar"/>
              </w:rPr>
            </w:pPr>
          </w:p>
        </w:tc>
        <w:tc>
          <w:tcPr>
            <w:tcW w:w="2484" w:type="dxa"/>
            <w:vMerge w:val="restart"/>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规范官方兽医履职</w:t>
            </w:r>
          </w:p>
        </w:tc>
        <w:tc>
          <w:tcPr>
            <w:tcW w:w="8190"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规范动物检疫及检疫出证行为，完善检疫工作记录，实时上传检疫出证信息，原则上不得离线出证或者延迟上传检疫信息，不得延迟作废检疫证明。按照省统一部署，适时取消离线出证终端。</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市农业农村局屠宰与检疫管理科、市动物疫病预防控制中心，各镇</w:t>
            </w:r>
            <w:proofErr w:type="gramStart"/>
            <w:r>
              <w:rPr>
                <w:rFonts w:eastAsia="仿宋_GB2312"/>
                <w:bCs/>
                <w:sz w:val="24"/>
              </w:rPr>
              <w:t>街农业</w:t>
            </w:r>
            <w:proofErr w:type="gramEnd"/>
            <w:r>
              <w:rPr>
                <w:rFonts w:eastAsia="仿宋_GB2312"/>
                <w:bCs/>
                <w:sz w:val="24"/>
              </w:rPr>
              <w:t>农村部门</w:t>
            </w:r>
          </w:p>
        </w:tc>
      </w:tr>
      <w:tr w:rsidR="00E01102" w:rsidTr="006426BE">
        <w:trPr>
          <w:trHeight w:val="925"/>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9</w:t>
            </w:r>
          </w:p>
        </w:tc>
        <w:tc>
          <w:tcPr>
            <w:tcW w:w="959" w:type="dxa"/>
            <w:vMerge/>
            <w:vAlign w:val="center"/>
          </w:tcPr>
          <w:p w:rsidR="00E01102" w:rsidRDefault="00E01102" w:rsidP="006426BE">
            <w:pPr>
              <w:widowControl/>
              <w:spacing w:line="400" w:lineRule="exact"/>
              <w:jc w:val="center"/>
              <w:outlineLvl w:val="0"/>
              <w:rPr>
                <w:rFonts w:eastAsia="仿宋_GB2312"/>
                <w:bCs/>
                <w:kern w:val="44"/>
                <w:sz w:val="28"/>
                <w:szCs w:val="28"/>
                <w:lang w:bidi="ar"/>
              </w:rPr>
            </w:pPr>
          </w:p>
        </w:tc>
        <w:tc>
          <w:tcPr>
            <w:tcW w:w="2484" w:type="dxa"/>
            <w:vMerge/>
            <w:vAlign w:val="center"/>
          </w:tcPr>
          <w:p w:rsidR="00E01102" w:rsidRDefault="00E01102" w:rsidP="006426BE">
            <w:pPr>
              <w:widowControl/>
              <w:spacing w:line="400" w:lineRule="exact"/>
              <w:rPr>
                <w:rFonts w:eastAsia="仿宋_GB2312"/>
                <w:bCs/>
                <w:sz w:val="28"/>
                <w:szCs w:val="28"/>
              </w:rPr>
            </w:pPr>
          </w:p>
        </w:tc>
        <w:tc>
          <w:tcPr>
            <w:tcW w:w="8190"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依法依规严肃查处</w:t>
            </w:r>
            <w:r>
              <w:rPr>
                <w:rFonts w:eastAsia="仿宋_GB2312"/>
                <w:bCs/>
                <w:sz w:val="28"/>
                <w:szCs w:val="28"/>
              </w:rPr>
              <w:t>“</w:t>
            </w:r>
            <w:r>
              <w:rPr>
                <w:rFonts w:eastAsia="仿宋_GB2312"/>
                <w:bCs/>
                <w:sz w:val="28"/>
                <w:szCs w:val="28"/>
              </w:rPr>
              <w:t>隔山开证</w:t>
            </w:r>
            <w:r>
              <w:rPr>
                <w:rFonts w:eastAsia="仿宋_GB2312"/>
                <w:bCs/>
                <w:sz w:val="28"/>
                <w:szCs w:val="28"/>
              </w:rPr>
              <w:t>”</w:t>
            </w:r>
            <w:r>
              <w:rPr>
                <w:rFonts w:eastAsia="仿宋_GB2312"/>
                <w:bCs/>
                <w:sz w:val="28"/>
                <w:szCs w:val="28"/>
              </w:rPr>
              <w:t>、开</w:t>
            </w:r>
            <w:r>
              <w:rPr>
                <w:rFonts w:eastAsia="仿宋_GB2312"/>
                <w:bCs/>
                <w:sz w:val="28"/>
                <w:szCs w:val="28"/>
              </w:rPr>
              <w:t>“</w:t>
            </w:r>
            <w:r>
              <w:rPr>
                <w:rFonts w:eastAsia="仿宋_GB2312"/>
                <w:bCs/>
                <w:sz w:val="28"/>
                <w:szCs w:val="28"/>
              </w:rPr>
              <w:t>人情证</w:t>
            </w:r>
            <w:r>
              <w:rPr>
                <w:rFonts w:eastAsia="仿宋_GB2312"/>
                <w:bCs/>
                <w:sz w:val="28"/>
                <w:szCs w:val="28"/>
              </w:rPr>
              <w:t>”</w:t>
            </w:r>
            <w:r>
              <w:rPr>
                <w:rFonts w:eastAsia="仿宋_GB2312"/>
                <w:bCs/>
                <w:sz w:val="28"/>
                <w:szCs w:val="28"/>
              </w:rPr>
              <w:t>、违规收取检疫费以及违规使用、倒卖动物卫生证章标志等行为。</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市农业农村局屠宰与检疫管理科、执法二科</w:t>
            </w:r>
          </w:p>
        </w:tc>
      </w:tr>
      <w:tr w:rsidR="00E01102" w:rsidTr="006426BE">
        <w:trPr>
          <w:trHeight w:val="1820"/>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lastRenderedPageBreak/>
              <w:t>10</w:t>
            </w:r>
          </w:p>
        </w:tc>
        <w:tc>
          <w:tcPr>
            <w:tcW w:w="959" w:type="dxa"/>
            <w:vMerge w:val="restart"/>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应用信息手段</w:t>
            </w:r>
            <w:r>
              <w:rPr>
                <w:rFonts w:eastAsia="仿宋_GB2312"/>
                <w:bCs/>
                <w:kern w:val="44"/>
                <w:sz w:val="28"/>
                <w:szCs w:val="28"/>
                <w:lang w:bidi="ar"/>
              </w:rPr>
              <w:t>,</w:t>
            </w:r>
            <w:r>
              <w:rPr>
                <w:rFonts w:eastAsia="仿宋_GB2312"/>
                <w:bCs/>
                <w:kern w:val="44"/>
                <w:sz w:val="28"/>
                <w:szCs w:val="28"/>
                <w:lang w:bidi="ar"/>
              </w:rPr>
              <w:t>强化智慧监管</w:t>
            </w:r>
          </w:p>
          <w:p w:rsidR="00E01102" w:rsidRDefault="00E01102" w:rsidP="006426BE">
            <w:pPr>
              <w:widowControl/>
              <w:spacing w:line="400" w:lineRule="exact"/>
              <w:jc w:val="center"/>
              <w:outlineLvl w:val="0"/>
              <w:rPr>
                <w:rFonts w:eastAsia="仿宋_GB2312"/>
                <w:bCs/>
                <w:kern w:val="44"/>
                <w:sz w:val="28"/>
                <w:szCs w:val="28"/>
                <w:lang w:bidi="ar"/>
              </w:rPr>
            </w:pPr>
          </w:p>
        </w:tc>
        <w:tc>
          <w:tcPr>
            <w:tcW w:w="2484"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做好检疫出证系统升级改造，实现省、市系统无缝对接</w:t>
            </w:r>
          </w:p>
        </w:tc>
        <w:tc>
          <w:tcPr>
            <w:tcW w:w="8190"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推进中山市动物卫生溯源信息管理系统升级改造和延伸应用，完善预警提醒、统计确认、目的地反馈功能，确保检疫数据准确可信。做好检疫出证信息对接工作，确保市内检疫出证信息实时上传至广东省动物溯源数据管理系统。</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市动物疫病预防控制中心</w:t>
            </w:r>
          </w:p>
        </w:tc>
      </w:tr>
      <w:tr w:rsidR="00E01102" w:rsidTr="006426BE">
        <w:trPr>
          <w:trHeight w:val="2095"/>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11</w:t>
            </w:r>
          </w:p>
        </w:tc>
        <w:tc>
          <w:tcPr>
            <w:tcW w:w="959" w:type="dxa"/>
            <w:vMerge/>
            <w:vAlign w:val="center"/>
          </w:tcPr>
          <w:p w:rsidR="00E01102" w:rsidRDefault="00E01102" w:rsidP="006426BE">
            <w:pPr>
              <w:widowControl/>
              <w:spacing w:line="400" w:lineRule="exact"/>
              <w:jc w:val="center"/>
              <w:outlineLvl w:val="0"/>
              <w:rPr>
                <w:rFonts w:eastAsia="仿宋_GB2312"/>
                <w:bCs/>
                <w:kern w:val="44"/>
                <w:sz w:val="28"/>
                <w:szCs w:val="28"/>
                <w:lang w:bidi="ar"/>
              </w:rPr>
            </w:pPr>
          </w:p>
        </w:tc>
        <w:tc>
          <w:tcPr>
            <w:tcW w:w="2484"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推行</w:t>
            </w:r>
            <w:r>
              <w:rPr>
                <w:rFonts w:eastAsia="仿宋_GB2312"/>
                <w:bCs/>
                <w:sz w:val="28"/>
                <w:szCs w:val="28"/>
              </w:rPr>
              <w:t>“</w:t>
            </w:r>
            <w:r>
              <w:rPr>
                <w:rFonts w:eastAsia="仿宋_GB2312"/>
                <w:bCs/>
                <w:sz w:val="28"/>
                <w:szCs w:val="28"/>
              </w:rPr>
              <w:t>互联网</w:t>
            </w:r>
            <w:r>
              <w:rPr>
                <w:rFonts w:eastAsia="仿宋_GB2312"/>
                <w:bCs/>
                <w:sz w:val="28"/>
                <w:szCs w:val="28"/>
              </w:rPr>
              <w:t>+</w:t>
            </w:r>
            <w:r>
              <w:rPr>
                <w:rFonts w:eastAsia="仿宋_GB2312"/>
                <w:bCs/>
                <w:sz w:val="28"/>
                <w:szCs w:val="28"/>
              </w:rPr>
              <w:t>动物检疫</w:t>
            </w:r>
            <w:r>
              <w:rPr>
                <w:rFonts w:eastAsia="仿宋_GB2312"/>
                <w:bCs/>
                <w:sz w:val="28"/>
                <w:szCs w:val="28"/>
              </w:rPr>
              <w:t>”</w:t>
            </w:r>
            <w:r>
              <w:rPr>
                <w:rFonts w:eastAsia="仿宋_GB2312"/>
                <w:bCs/>
                <w:sz w:val="28"/>
                <w:szCs w:val="28"/>
              </w:rPr>
              <w:t>监管新模式</w:t>
            </w:r>
          </w:p>
        </w:tc>
        <w:tc>
          <w:tcPr>
            <w:tcW w:w="8190"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落实</w:t>
            </w:r>
            <w:r>
              <w:rPr>
                <w:rFonts w:eastAsia="仿宋_GB2312"/>
                <w:bCs/>
                <w:sz w:val="28"/>
                <w:szCs w:val="28"/>
              </w:rPr>
              <w:t>“</w:t>
            </w:r>
            <w:r>
              <w:rPr>
                <w:rFonts w:eastAsia="仿宋_GB2312"/>
                <w:bCs/>
                <w:sz w:val="28"/>
                <w:szCs w:val="28"/>
              </w:rPr>
              <w:t>放管服</w:t>
            </w:r>
            <w:r>
              <w:rPr>
                <w:rFonts w:eastAsia="仿宋_GB2312"/>
                <w:bCs/>
                <w:sz w:val="28"/>
                <w:szCs w:val="28"/>
              </w:rPr>
              <w:t>”</w:t>
            </w:r>
            <w:r>
              <w:rPr>
                <w:rFonts w:eastAsia="仿宋_GB2312"/>
                <w:bCs/>
                <w:sz w:val="28"/>
                <w:szCs w:val="28"/>
              </w:rPr>
              <w:t>改革要求，以推进动物检疫电子证照为契机，进一步完善检疫证明电子出证系统，探索推进</w:t>
            </w:r>
            <w:r>
              <w:rPr>
                <w:rFonts w:eastAsia="仿宋_GB2312"/>
                <w:bCs/>
                <w:sz w:val="28"/>
                <w:szCs w:val="28"/>
              </w:rPr>
              <w:t>“</w:t>
            </w:r>
            <w:r>
              <w:rPr>
                <w:rFonts w:eastAsia="仿宋_GB2312"/>
                <w:bCs/>
                <w:sz w:val="28"/>
                <w:szCs w:val="28"/>
              </w:rPr>
              <w:t>网上申报、网上受理、网上出证</w:t>
            </w:r>
            <w:r>
              <w:rPr>
                <w:rFonts w:eastAsia="仿宋_GB2312"/>
                <w:bCs/>
                <w:sz w:val="28"/>
                <w:szCs w:val="28"/>
              </w:rPr>
              <w:t>”</w:t>
            </w:r>
            <w:r>
              <w:rPr>
                <w:rFonts w:eastAsia="仿宋_GB2312"/>
                <w:bCs/>
                <w:sz w:val="28"/>
                <w:szCs w:val="28"/>
              </w:rPr>
              <w:t>一站式服务，逐步做到与畜禽免疫电子档案、官方兽医信息管理系统等相关联，实现无纸化出具动物检疫证明，助推检疫监管转型升级。</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市农业农村局屠宰与检疫管理科、市动物疫病预防控制中心</w:t>
            </w:r>
          </w:p>
        </w:tc>
      </w:tr>
      <w:tr w:rsidR="00E01102" w:rsidTr="006426BE">
        <w:trPr>
          <w:trHeight w:val="1295"/>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12</w:t>
            </w:r>
          </w:p>
        </w:tc>
        <w:tc>
          <w:tcPr>
            <w:tcW w:w="959" w:type="dxa"/>
            <w:vMerge/>
            <w:vAlign w:val="center"/>
          </w:tcPr>
          <w:p w:rsidR="00E01102" w:rsidRDefault="00E01102" w:rsidP="006426BE">
            <w:pPr>
              <w:widowControl/>
              <w:spacing w:line="400" w:lineRule="exact"/>
              <w:jc w:val="center"/>
              <w:outlineLvl w:val="0"/>
              <w:rPr>
                <w:rFonts w:eastAsia="仿宋_GB2312"/>
                <w:bCs/>
                <w:kern w:val="44"/>
                <w:sz w:val="28"/>
                <w:szCs w:val="28"/>
                <w:lang w:bidi="ar"/>
              </w:rPr>
            </w:pPr>
          </w:p>
        </w:tc>
        <w:tc>
          <w:tcPr>
            <w:tcW w:w="2484" w:type="dxa"/>
            <w:vMerge w:val="restart"/>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加强动物检疫监督闭环管理</w:t>
            </w:r>
          </w:p>
        </w:tc>
        <w:tc>
          <w:tcPr>
            <w:tcW w:w="8190"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做好生猪运输车辆备案管理，落实备案车辆动态管理制度，对涉嫌违法违规调运生猪的运输车辆，及时反馈备案地取消车辆备案资格。</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市农业农村局屠宰与检疫管理科，各镇</w:t>
            </w:r>
            <w:proofErr w:type="gramStart"/>
            <w:r>
              <w:rPr>
                <w:rFonts w:eastAsia="仿宋_GB2312"/>
                <w:bCs/>
                <w:sz w:val="24"/>
              </w:rPr>
              <w:t>街农业</w:t>
            </w:r>
            <w:proofErr w:type="gramEnd"/>
            <w:r>
              <w:rPr>
                <w:rFonts w:eastAsia="仿宋_GB2312"/>
                <w:bCs/>
                <w:sz w:val="24"/>
              </w:rPr>
              <w:t>农村部门</w:t>
            </w:r>
          </w:p>
        </w:tc>
      </w:tr>
      <w:tr w:rsidR="00E01102" w:rsidTr="006426BE">
        <w:trPr>
          <w:trHeight w:val="1795"/>
          <w:jc w:val="center"/>
        </w:trPr>
        <w:tc>
          <w:tcPr>
            <w:tcW w:w="706" w:type="dxa"/>
            <w:vAlign w:val="center"/>
          </w:tcPr>
          <w:p w:rsidR="00E01102" w:rsidRDefault="00E01102" w:rsidP="006426BE">
            <w:pPr>
              <w:widowControl/>
              <w:spacing w:line="400" w:lineRule="exact"/>
              <w:jc w:val="center"/>
              <w:outlineLvl w:val="0"/>
              <w:rPr>
                <w:rFonts w:eastAsia="仿宋_GB2312"/>
                <w:bCs/>
                <w:kern w:val="44"/>
                <w:sz w:val="28"/>
                <w:szCs w:val="28"/>
                <w:lang w:bidi="ar"/>
              </w:rPr>
            </w:pPr>
            <w:r>
              <w:rPr>
                <w:rFonts w:eastAsia="仿宋_GB2312"/>
                <w:bCs/>
                <w:kern w:val="44"/>
                <w:sz w:val="28"/>
                <w:szCs w:val="28"/>
                <w:lang w:bidi="ar"/>
              </w:rPr>
              <w:t>13</w:t>
            </w:r>
          </w:p>
        </w:tc>
        <w:tc>
          <w:tcPr>
            <w:tcW w:w="959" w:type="dxa"/>
            <w:vMerge/>
            <w:vAlign w:val="center"/>
          </w:tcPr>
          <w:p w:rsidR="00E01102" w:rsidRDefault="00E01102" w:rsidP="006426BE">
            <w:pPr>
              <w:widowControl/>
              <w:spacing w:line="400" w:lineRule="exact"/>
              <w:jc w:val="left"/>
              <w:outlineLvl w:val="0"/>
              <w:rPr>
                <w:rFonts w:eastAsia="仿宋_GB2312"/>
                <w:bCs/>
                <w:kern w:val="44"/>
                <w:sz w:val="28"/>
                <w:szCs w:val="28"/>
                <w:lang w:bidi="ar"/>
              </w:rPr>
            </w:pPr>
          </w:p>
        </w:tc>
        <w:tc>
          <w:tcPr>
            <w:tcW w:w="2484" w:type="dxa"/>
            <w:vMerge/>
            <w:vAlign w:val="center"/>
          </w:tcPr>
          <w:p w:rsidR="00E01102" w:rsidRDefault="00E01102" w:rsidP="006426BE">
            <w:pPr>
              <w:widowControl/>
              <w:spacing w:line="400" w:lineRule="exact"/>
              <w:rPr>
                <w:rFonts w:eastAsia="仿宋_GB2312"/>
                <w:bCs/>
                <w:sz w:val="28"/>
                <w:szCs w:val="28"/>
              </w:rPr>
            </w:pPr>
          </w:p>
        </w:tc>
        <w:tc>
          <w:tcPr>
            <w:tcW w:w="8190" w:type="dxa"/>
            <w:vAlign w:val="center"/>
          </w:tcPr>
          <w:p w:rsidR="00E01102" w:rsidRDefault="00E01102" w:rsidP="006426BE">
            <w:pPr>
              <w:widowControl/>
              <w:spacing w:line="400" w:lineRule="exact"/>
              <w:rPr>
                <w:rFonts w:eastAsia="仿宋_GB2312"/>
                <w:bCs/>
                <w:sz w:val="28"/>
                <w:szCs w:val="28"/>
              </w:rPr>
            </w:pPr>
            <w:r>
              <w:rPr>
                <w:rFonts w:eastAsia="仿宋_GB2312"/>
                <w:bCs/>
                <w:sz w:val="28"/>
                <w:szCs w:val="28"/>
              </w:rPr>
              <w:t>严格执行入</w:t>
            </w:r>
            <w:proofErr w:type="gramStart"/>
            <w:r>
              <w:rPr>
                <w:rFonts w:eastAsia="仿宋_GB2312"/>
                <w:bCs/>
                <w:sz w:val="28"/>
                <w:szCs w:val="28"/>
              </w:rPr>
              <w:t>粤动物</w:t>
            </w:r>
            <w:proofErr w:type="gramEnd"/>
            <w:r>
              <w:rPr>
                <w:rFonts w:eastAsia="仿宋_GB2312"/>
                <w:bCs/>
                <w:sz w:val="28"/>
                <w:szCs w:val="28"/>
              </w:rPr>
              <w:t>及动物产品指定通道制度，</w:t>
            </w:r>
            <w:proofErr w:type="gramStart"/>
            <w:r>
              <w:rPr>
                <w:rFonts w:eastAsia="仿宋_GB2312"/>
                <w:bCs/>
                <w:sz w:val="28"/>
                <w:szCs w:val="28"/>
              </w:rPr>
              <w:t>推广应用牧运通</w:t>
            </w:r>
            <w:proofErr w:type="gramEnd"/>
            <w:r>
              <w:rPr>
                <w:rFonts w:eastAsia="仿宋_GB2312"/>
                <w:bCs/>
                <w:sz w:val="28"/>
                <w:szCs w:val="28"/>
              </w:rPr>
              <w:t>（中南运猪通）对监管信息进行实时采集和上传，督促指导畜禽养殖场（户）、屠宰企业、承运人等生产经营主体及时反馈调入畜禽落地信息，实现调运启运地、途径地、目的地全程闭环管理。</w:t>
            </w:r>
          </w:p>
        </w:tc>
        <w:tc>
          <w:tcPr>
            <w:tcW w:w="2752" w:type="dxa"/>
            <w:vAlign w:val="center"/>
          </w:tcPr>
          <w:p w:rsidR="00E01102" w:rsidRDefault="00E01102" w:rsidP="006426BE">
            <w:pPr>
              <w:widowControl/>
              <w:spacing w:line="400" w:lineRule="exact"/>
              <w:rPr>
                <w:rFonts w:eastAsia="仿宋_GB2312"/>
                <w:bCs/>
                <w:sz w:val="24"/>
              </w:rPr>
            </w:pPr>
            <w:r>
              <w:rPr>
                <w:rFonts w:eastAsia="仿宋_GB2312"/>
                <w:bCs/>
                <w:sz w:val="24"/>
              </w:rPr>
              <w:t>市农业农村局屠宰与检疫管理科、市动物疫病预防控制中心，各镇</w:t>
            </w:r>
            <w:proofErr w:type="gramStart"/>
            <w:r>
              <w:rPr>
                <w:rFonts w:eastAsia="仿宋_GB2312"/>
                <w:bCs/>
                <w:sz w:val="24"/>
              </w:rPr>
              <w:t>街农业</w:t>
            </w:r>
            <w:proofErr w:type="gramEnd"/>
            <w:r>
              <w:rPr>
                <w:rFonts w:eastAsia="仿宋_GB2312"/>
                <w:bCs/>
                <w:sz w:val="24"/>
              </w:rPr>
              <w:t>农村部门</w:t>
            </w:r>
          </w:p>
        </w:tc>
      </w:tr>
    </w:tbl>
    <w:p w:rsidR="008839BA" w:rsidRDefault="008839BA"/>
    <w:sectPr w:rsidR="008839BA" w:rsidSect="00E0110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102"/>
    <w:rsid w:val="008839BA"/>
    <w:rsid w:val="00E0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01102"/>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E011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 Char"/>
    <w:basedOn w:val="a"/>
    <w:qFormat/>
    <w:rsid w:val="00E01102"/>
    <w:pPr>
      <w:widowControl/>
      <w:spacing w:after="160" w:line="240" w:lineRule="exact"/>
      <w:jc w:val="left"/>
    </w:pPr>
  </w:style>
  <w:style w:type="table" w:styleId="a3">
    <w:name w:val="Table Grid"/>
    <w:qFormat/>
    <w:rsid w:val="00E0110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2Char">
    <w:name w:val="标题 2 Char"/>
    <w:basedOn w:val="a0"/>
    <w:link w:val="2"/>
    <w:uiPriority w:val="9"/>
    <w:semiHidden/>
    <w:rsid w:val="00E01102"/>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01102"/>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E011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 Char"/>
    <w:basedOn w:val="a"/>
    <w:qFormat/>
    <w:rsid w:val="00E01102"/>
    <w:pPr>
      <w:widowControl/>
      <w:spacing w:after="160" w:line="240" w:lineRule="exact"/>
      <w:jc w:val="left"/>
    </w:pPr>
  </w:style>
  <w:style w:type="table" w:styleId="a3">
    <w:name w:val="Table Grid"/>
    <w:qFormat/>
    <w:rsid w:val="00E0110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2Char">
    <w:name w:val="标题 2 Char"/>
    <w:basedOn w:val="a0"/>
    <w:link w:val="2"/>
    <w:uiPriority w:val="9"/>
    <w:semiHidden/>
    <w:rsid w:val="00E0110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usq</dc:creator>
  <cp:lastModifiedBy>usq</cp:lastModifiedBy>
  <cp:revision>1</cp:revision>
  <dcterms:created xsi:type="dcterms:W3CDTF">2021-11-05T07:29:00Z</dcterms:created>
  <dcterms:modified xsi:type="dcterms:W3CDTF">2021-11-05T07:29:00Z</dcterms:modified>
</cp:coreProperties>
</file>