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fill="FFFFFF"/>
          <w:lang w:eastAsia="zh-CN"/>
        </w:rPr>
        <w:t>西江美丽乡村风貌示范带建设补助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fill="FFFFFF"/>
        </w:rPr>
        <w:t>资金拨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fill="FFFFFF"/>
          <w:lang w:eastAsia="zh-CN"/>
        </w:rPr>
        <w:t>付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2"/>
          <w:szCs w:val="32"/>
          <w:shd w:val="clear" w:fill="FFFFFF"/>
        </w:rPr>
        <w:t>方案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34"/>
        <w:gridCol w:w="2316"/>
        <w:gridCol w:w="4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镇  </w:t>
            </w: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街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拨付金额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万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元）</w:t>
            </w:r>
          </w:p>
        </w:tc>
        <w:tc>
          <w:tcPr>
            <w:tcW w:w="4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2770</w:t>
            </w:r>
          </w:p>
        </w:tc>
        <w:tc>
          <w:tcPr>
            <w:tcW w:w="4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横栏花木产业、西江自然生态、水乡文化村落等优势资源，连片建设西江美丽乡村风貌示范带（西江沿线—六沙大道—六沙西一组—三沙花木大道环线），开展绿化美化，塑造节点景观，建设美丽驿站和风景长廊，打造成为中国（中山）花木产业大会会址。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2D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2021-11-12T01:06:18Z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