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28"/>
          <w:lang w:val="en-US" w:eastAsia="zh-CN"/>
        </w:rPr>
        <w:t>2021年农村人居环境整治——干净整洁村补助资金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28"/>
          <w:lang w:val="en-US" w:eastAsia="zh-CN"/>
        </w:rPr>
        <w:t>分配方案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24"/>
          <w:lang w:val="en-US" w:eastAsia="zh-CN"/>
        </w:rPr>
        <w:t>（9、10、11月份）</w:t>
      </w:r>
    </w:p>
    <w:tbl>
      <w:tblPr>
        <w:tblStyle w:val="3"/>
        <w:tblW w:w="7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50"/>
        <w:gridCol w:w="2126"/>
        <w:gridCol w:w="1373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  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月份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镇  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街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下拨金额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（万元）</w:t>
            </w:r>
          </w:p>
        </w:tc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9月份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提升农村人居环境质量，到2021年底，全市70%以上行政村（涉农社区）达到美丽宜居村标准。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小榄镇小榄片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10月份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11月份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古镇镇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大涌镇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三乡镇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810</w:t>
            </w:r>
          </w:p>
        </w:tc>
        <w:tc>
          <w:tcPr>
            <w:tcW w:w="2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/>
    <w:p>
      <w:pPr>
        <w:rPr>
          <w:b/>
          <w:bCs/>
        </w:rPr>
      </w:pPr>
    </w:p>
    <w:p/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D3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9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2021-12-07T01:04:22Z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