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1-1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（2020年版，池塘养殖类）</w:t>
      </w:r>
    </w:p>
    <w:tbl>
      <w:tblPr>
        <w:tblStyle w:val="9"/>
        <w:tblpPr w:leftFromText="180" w:rightFromText="180" w:vertAnchor="text" w:horzAnchor="margin" w:tblpY="28"/>
        <w:tblW w:w="97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0"/>
        <w:gridCol w:w="4443"/>
        <w:gridCol w:w="1368"/>
        <w:gridCol w:w="1034"/>
        <w:gridCol w:w="480"/>
        <w:gridCol w:w="132"/>
        <w:gridCol w:w="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8069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hint="default"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2258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973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示范场应具备的基本条件（共6项，</w:t>
            </w:r>
            <w:r>
              <w:rPr>
                <w:rFonts w:hint="default"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1.养殖场坐落于《养殖水域滩涂规划》划定的养殖区、限养区内。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滩涂承包经营权、使用权的其他权证和承包合同。苗种生产单位须持有效的《水产苗种生产许可证》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hint="default"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4.池塘养殖面积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</w:rPr>
              <w:t>亩（西部地区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</w:rPr>
              <w:t>亩）（含）以上。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5.近5年（含本年度）内产地水产品兽药残留监测合格（未被抽检年份视同合格），无使用假、劣兽药以及禁用药品、人用药等违法行为，不使用所谓“非药品”“动保产品”等存在安全隐患的投入品。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6.具有养殖尾水净化处理设施或设备且正常使用。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973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如基本条件具备，请按以下标准评分（31项）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6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分值</w:t>
            </w: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一、完善基础条件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1.场区环境整洁、优美，养殖废弃物有效治理3分，进排水分开且无明显毁损2分。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需要用水预处理的，具有养殖用水预处理设施设备且正常使用2分。配备水质检测仪器设备且正常使用1分。养殖用水符合《无公害食品海水养殖用水水质》《无公害食品淡水养殖用水水质》标准（查验水质检测报告）或更高标准的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3.养殖基础设施设备维护良好3分，用电设施完备且维护良好2分。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4.投饵机、增氧机等养殖机械设备齐全且正常使用3分，有配套生产生活垃圾集中处理设施设备且正常使用2分。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具有独立分设兽药和饲料仓库，仓库保持清洁整齐、干燥通风。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8.渔用饲料来源于合法企业的合法产品（查验进货发票或凭证）。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612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18"/>
          <w:szCs w:val="18"/>
        </w:rPr>
        <w:br w:type="page"/>
      </w:r>
    </w:p>
    <w:tbl>
      <w:tblPr>
        <w:tblStyle w:val="9"/>
        <w:tblpPr w:leftFromText="180" w:rightFromText="180" w:vertAnchor="text" w:horzAnchor="margin" w:tblpXSpec="center" w:tblpY="2"/>
        <w:tblW w:w="96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41"/>
        <w:gridCol w:w="707"/>
        <w:gridCol w:w="992"/>
        <w:gridCol w:w="709"/>
        <w:gridCol w:w="2452"/>
        <w:gridCol w:w="1125"/>
        <w:gridCol w:w="612"/>
        <w:gridCol w:w="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4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626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12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69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11.使用渔用饲料符合《饲料和饲料添加剂管理条例》。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12.依法建立水产养殖生产记录制度，按时记载，内容详细完整准确。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13.依法建立水产养殖用药记录制度，按时记载，内容详细完整准确。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14.《水产养殖生产记录》《水产养殖用药记录》保存至售后2年以上。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三、引领绿色发展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16.根据本场实际研究确定健康、生态养殖模式，依法制定养殖品种生产或苗种繁育书面操作规范。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17.依法开展水产养殖项目环境影响评价。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18.建立渔用饲料、水产养殖用兽药等生产投入品存放、保管制度。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19.全部使用配合饲料，不直接投喂冰鲜(冻)饵料。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20.使用疫苗，全过程不使用化学药品、抗生素。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21.依法建立自行或委托检测机构水产品质量安全状况检测制度。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22.建立水产品销售记录制度，按时记载，内容详细完整准确。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23.建立养殖水产品追溯体系，销售水产品附具产品标签，内容详细完整准确。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24.定期对职工或成员进行健康养殖和质量安全教育培训。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25.开展生态沟渠、生态塘、潜流湿地等尾水处理设施升级改造。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26.病死水生动物按照《染疫水生动物无害化处理规程》标准进行无害化处理（查无害化处理记录）。 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27.按照农业农村部要求承担水产养殖动植物疾病测报工作，配备测报员（可由渔业乡村兽医或执业兽医兼任），并通过系统逐级上报。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28.按照农业农村部要求，积极配合作为《国家水生动物疫病监测计划》或省级监测被抽样单位。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31.建立起产供销一体化或融合发展的新模式，形成具有一定知名度的水产品牌。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39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合  计</w:t>
            </w:r>
          </w:p>
        </w:tc>
        <w:tc>
          <w:tcPr>
            <w:tcW w:w="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728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注：1.总分达到80分（含）以上为验收合格。</w:t>
      </w:r>
    </w:p>
    <w:p>
      <w:pPr>
        <w:ind w:firstLine="411" w:firstLineChars="195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2.双面打印后填写，样式在渔业渔政管理局网站（www.yyj.moa.gov.cn）下载。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br w:type="page"/>
      </w:r>
      <w:r>
        <w:rPr>
          <w:rFonts w:hint="default" w:ascii="Times New Roman" w:hAnsi="Times New Roman" w:cs="Times New Roman"/>
          <w:b/>
          <w:sz w:val="36"/>
          <w:szCs w:val="36"/>
        </w:rPr>
        <w:t>1-2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 xml:space="preserve">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（2020年版，工厂化养殖类）</w:t>
      </w:r>
    </w:p>
    <w:tbl>
      <w:tblPr>
        <w:tblStyle w:val="9"/>
        <w:tblpPr w:leftFromText="180" w:rightFromText="180" w:vertAnchor="text" w:horzAnchor="margin" w:tblpY="28"/>
        <w:tblW w:w="97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6"/>
        <w:gridCol w:w="4532"/>
        <w:gridCol w:w="1395"/>
        <w:gridCol w:w="882"/>
        <w:gridCol w:w="193"/>
        <w:gridCol w:w="418"/>
        <w:gridCol w:w="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701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802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01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532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hint="default"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2093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97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示范场应具备的基本条件（共6项，</w:t>
            </w:r>
            <w:r>
              <w:rPr>
                <w:rFonts w:hint="default"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1.养殖场坐落于《养殖水域滩涂规划》划定的养殖区、限养区内。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滩涂承包经营权、使用权的其他权证和承包合同。苗种生产单位须持有效的《水产苗种生产许可证》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hint="default"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4.工厂化养殖面积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2000</w:t>
            </w:r>
            <w:r>
              <w:rPr>
                <w:rFonts w:hint="default" w:ascii="Times New Roman" w:hAnsi="Times New Roman" w:cs="Times New Roman"/>
                <w:sz w:val="24"/>
              </w:rPr>
              <w:t>平方米以上。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5.近5年（含本年度）内产地水产品兽药残留监测合格（未被抽检年份视同合格），无使用假、劣兽药以及禁用药品、人用药等违法行为，不使用所谓“非药品”“动保产品”等存在安全隐患的投入品。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6.具有养殖尾水净化处理设施或设备且正常使用。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97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如基本条件具备，请按以下标准评分（31项）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分值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一、完善基础条件</w:t>
            </w: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1.场区环境整洁、优美，养殖废弃物有效治理3分，进排水分开且无明显毁损2分。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需要用水预处理的，具有养殖用水预处理设施设备且正常使用2分。配备水质检测仪器设备且正常使用1分。养殖用水符合《无公害食品海水养殖用水水质》《无公害食品淡水养殖用水水质》标准（查验水质检测报告）或更高标准的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3.工厂化养殖具有完备的循环用水设施设备3分，用电设施完备且维护良好2分。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4.投饵机、增氧机等养殖机械设备齐全且正常使用3分，有配套生产生活垃圾集中处理设施设备且正常使用2分。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具有独立分设兽药和饲料仓库，仓库保持清洁整齐、干燥通风。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8.渔用饲料来源于合法企业的合法产品（查验进货发票或凭证）。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611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br w:type="page"/>
      </w:r>
    </w:p>
    <w:tbl>
      <w:tblPr>
        <w:tblStyle w:val="9"/>
        <w:tblpPr w:leftFromText="180" w:rightFromText="180" w:vertAnchor="text" w:horzAnchor="margin" w:tblpXSpec="center" w:tblpY="2"/>
        <w:tblW w:w="97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539"/>
        <w:gridCol w:w="707"/>
        <w:gridCol w:w="992"/>
        <w:gridCol w:w="709"/>
        <w:gridCol w:w="2452"/>
        <w:gridCol w:w="1218"/>
        <w:gridCol w:w="612"/>
        <w:gridCol w:w="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91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617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12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61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11.使用渔用饲料符合《饲料和饲料添加剂管理条例》。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12.依法建立水产养殖生产记录制度，按时记载，内容详细完整准确。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13.依法建立水产养殖用药记录制度，按时记载，内容详细完整准确。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14.《水产养殖生产记录》《水产养殖用药记录》保存至售后2年以上。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三、引领绿色发展</w:t>
            </w: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16.根据本场实际研究确定健康、生态养殖模式，依法制定养殖品种生产或苗种繁育书面操作规范。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17.依法开展水产养殖项目环境影响评价。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18.建立渔用饲料、水产养殖用兽药等生产投入品存放、保管制度。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19.全部使用配合饲料，不直接投喂冰鲜(冻)饵料。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20.使用疫苗，全过程不使用化学药品、抗生素。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21.依法建立自行或委托检测机构水产品质量安全状况检测制度。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22.建立水产品销售记录制度，按时记载，内容详细完整准确。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23.建立养殖水产品追溯体系，销售水产品附具产品标签，内容详细完整准确。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24.定期对职工或成员进行健康养殖和质量安全教育培训。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25.开展智慧养殖示范，引入物联网、大数据、人工智能等现代信息技术。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26.病死水生动物按照《染疫水生动物无害化处理规程》标准进行无害化处理（查无害化处理记录）。 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27.按照农业农村部要求承担水产养殖动植物疾病测报工作，配备测报员（可由渔业乡村兽医或执业兽医兼任），并通过系统逐级上报。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28.按照农业农村部要求，积极配合作为《国家水生动物疫病监测计划》或省级监测被抽样单位。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31.建立起产供销一体化或融合发展的新模式，形成具有一定知名度的水产品牌。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50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合  计</w:t>
            </w:r>
          </w:p>
        </w:tc>
        <w:tc>
          <w:tcPr>
            <w:tcW w:w="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7302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注：1.总分达到80分（含）以上为验收合格。</w:t>
      </w:r>
    </w:p>
    <w:p>
      <w:pPr>
        <w:numPr>
          <w:ilvl w:val="0"/>
          <w:numId w:val="1"/>
        </w:numPr>
        <w:ind w:firstLine="411" w:firstLineChars="195"/>
        <w:jc w:val="both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双面打印后填写，样式在渔业渔政管理局网站（www.yyj.moa.gov.cn）下载。</w:t>
      </w:r>
    </w:p>
    <w:p>
      <w:pPr>
        <w:numPr>
          <w:ilvl w:val="0"/>
          <w:numId w:val="1"/>
        </w:numPr>
        <w:ind w:firstLine="469" w:firstLineChars="195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24"/>
        </w:rPr>
        <w:br w:type="page"/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1-3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（2020年版，大水面养殖类）</w:t>
      </w:r>
    </w:p>
    <w:tbl>
      <w:tblPr>
        <w:tblStyle w:val="9"/>
        <w:tblpPr w:leftFromText="180" w:rightFromText="180" w:vertAnchor="text" w:horzAnchor="margin" w:tblpX="-103" w:tblpY="28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58"/>
        <w:gridCol w:w="4443"/>
        <w:gridCol w:w="1368"/>
        <w:gridCol w:w="999"/>
        <w:gridCol w:w="54"/>
        <w:gridCol w:w="589"/>
        <w:gridCol w:w="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772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772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hint="default"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2253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示范场应具备的基本条件（共5项，</w:t>
            </w:r>
            <w:r>
              <w:rPr>
                <w:rFonts w:hint="default"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1.养殖场坐落于《养殖水域滩涂规划》划定的养殖区、限养区内。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滩涂承包经营权、使用权的其他权证和承包合同。苗种生产单位须持有效的《水产苗种生产许可证》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hint="default"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4.近5年（含本年度）内产地水产品兽药残留监测合格（未被抽检年份视同合格），无使用假、劣兽药以及禁用药品、人用药等违法行为，不使用所谓“非药品”“动保产品”等存在安全隐患的投入品。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5.网箱、网栏、筏式、吊笼等养殖应具备废弃物收集设备（大水面放养除外）。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如基本条件具备，请按以下标准评分（30项）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分值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一、完善基础条件</w:t>
            </w: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1.场区环境整洁、优美，养殖废弃物有效治理。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2.配备水质检测仪器设备且正常使用1分。养殖用水符合《无公害食品海水养殖用水水质》《无公害食品淡水养殖用水水质》标准（查验水质检测报告）或更高标准的2分，无检测报告扣2分。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3.网箱、网栏、浮筏、吊笼等基础设施设备维护良好3分，有配套生产生活垃圾集中处理设施设备且正常使用2分。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4.养殖过程中产生的废弃物均妥善处置，未造成环境负面影响。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5.完全不使用兽药和饲料3分。如需要投喂兽药饲料，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具有独立分设兽药和饲料仓库，仓库保持清洁整齐、干燥通风。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8.完全不投喂饲料4分。如需要投喂饲料，渔用饲料来源于合法企业的合法产品（查验进货发票或凭证）。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1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10.完全不使用兽药4分。使用水产养殖用兽药符合《兽药管理条例》（兽用处方药查验处方），使用有休药期的水产养殖用兽药严格执行休药期（查用药记录）。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643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9"/>
        <w:tblpPr w:leftFromText="180" w:rightFromText="180" w:vertAnchor="text" w:horzAnchor="margin" w:tblpXSpec="center" w:tblpY="2"/>
        <w:tblW w:w="9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07"/>
        <w:gridCol w:w="713"/>
        <w:gridCol w:w="1000"/>
        <w:gridCol w:w="715"/>
        <w:gridCol w:w="2473"/>
        <w:gridCol w:w="1176"/>
        <w:gridCol w:w="620"/>
        <w:gridCol w:w="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35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784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62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落实管理制度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11.使用渔用饲料符合《饲料和饲料添加剂管理条例》。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12.依法建立水产养殖生产记录制度，按时记载，内容详细完整准确。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13.依法建立水产养殖用药记录制度，按时记载，内容详细完整准确。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14.《水产养殖生产记录》《水产养殖用药记录》保存至售后2年以上。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三、引领绿色发展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15.根据本场实际研究确定健康、生态养殖模式，依法制定养殖品种生产或苗种繁育书面操作规范。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16.依法开展水产养殖项目环境影响评价。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17.建立渔用饲料、水产养殖用兽药等生产投入品存放、保管制度。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18.全部使用配合饲料，不直接投喂冰鲜(冻)饵料。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19.使用疫苗，全过程不使用化学药品、抗生素。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20.依法建立自行或委托检测机构水产品质量安全状况检测制度。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21.建立水产品销售记录制度，按时记载，内容详细完整准确。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22.建立养殖水产品追溯体系，销售水产品附具产品标签，内容详细完整准确。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23.定期对职工或成员进行健康养殖和质量安全教育培训。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24.开展不投饵、滤食性、草食性增养殖或滩涂浅海贝藻类增养殖。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25.病死水生动物按照《染疫水生动物无害化处理规程》标准进行无害化处理（查无害化处理记录）。 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26.按照农业农村部要求承担水产养殖动植物疾病测报工作，配备测报员（可由渔业乡村兽医或执业兽医兼任），并通过系统逐级上报。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27.按照农业农村部要求，积极配合作为《国家水生动物疫病监测计划》或省级监测被抽样单位。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35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30.建立起产供销一体化或融合发展的新模式，形成具有一定知名度的水产品牌。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6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合  计</w:t>
            </w:r>
          </w:p>
        </w:tc>
        <w:tc>
          <w:tcPr>
            <w:tcW w:w="6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注： 1.大水面养殖包括淡水水库、湖泊、网箱，海水底播、筏式、吊笼、网箱等。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 2.总分达到80分（含）以上为验收合格。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 3.双面打印后填写，样式在渔业渔政管理局网站（www.yyj.moa.gov.cn）下载。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24"/>
        </w:rPr>
        <w:br w:type="page"/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1-4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（2020年版，稻渔综合种养类）</w:t>
      </w:r>
    </w:p>
    <w:tbl>
      <w:tblPr>
        <w:tblStyle w:val="9"/>
        <w:tblpPr w:leftFromText="180" w:rightFromText="180" w:vertAnchor="text" w:horzAnchor="margin" w:tblpX="-317" w:tblpY="28"/>
        <w:tblW w:w="10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0"/>
        <w:gridCol w:w="4443"/>
        <w:gridCol w:w="1368"/>
        <w:gridCol w:w="1021"/>
        <w:gridCol w:w="280"/>
        <w:gridCol w:w="438"/>
        <w:gridCol w:w="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986" w:type="dxa"/>
            <w:gridSpan w:val="2"/>
            <w:vAlign w:val="center"/>
          </w:tcPr>
          <w:p>
            <w:pPr>
              <w:ind w:left="-65" w:leftChars="-31" w:firstLine="73" w:firstLineChars="41"/>
              <w:jc w:val="center"/>
              <w:rPr>
                <w:rFonts w:hint="default" w:ascii="Times New Roman" w:hAnsi="Times New Roman" w:eastAsia="黑体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18"/>
                <w:szCs w:val="18"/>
              </w:rPr>
              <w:t>单位名称</w:t>
            </w:r>
          </w:p>
          <w:p>
            <w:pPr>
              <w:ind w:left="-65" w:leftChars="-31" w:firstLine="73" w:firstLineChars="41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（填写公章名称）</w:t>
            </w:r>
          </w:p>
        </w:tc>
        <w:tc>
          <w:tcPr>
            <w:tcW w:w="8257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986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hint="default"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2446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024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示范场应具备的基本条件（共7项，</w:t>
            </w:r>
            <w:r>
              <w:rPr>
                <w:rFonts w:hint="default" w:ascii="Times New Roman" w:hAnsi="Times New Roman" w:cs="Times New Roman"/>
                <w:szCs w:val="21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1.养殖场坐落于《养殖水域滩涂规划》划定的养殖区、限养区内。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养殖生产者持有效的《水域滩涂养殖证》（或《不动产权证书》《农村土地承包经营权证》），或可证明其水域滩涂承包经营权、使用权的其他权证和承包合同。苗种生产单位须持有效的《水产苗种生产许可证》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3.主体为企业、合作社、家庭农场、事业单位、村民委员会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和个体工商户</w:t>
            </w:r>
            <w:r>
              <w:rPr>
                <w:rFonts w:hint="default" w:ascii="Times New Roman" w:hAnsi="Times New Roman" w:cs="Times New Roman"/>
                <w:szCs w:val="21"/>
              </w:rPr>
              <w:t>等水产养殖生产经营主体（行政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机关、执法机构、社会团体除外）。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4.近5年（含本年度）内产地水产品兽药残留监测合格（未被抽检年份视同合格），无使用假、劣兽药以及禁用药品、人用药等违法行为，不使用所谓“非药品”“动保产品”等存在安全隐患的投入品。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田间工程建设符合主养品种对稻渔共生的基本要求，沟坑占比不超过总面积的10%。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平原地区应集中连片，面积达到3000亩以上；丘陵山区应各田块位置毗邻，面积在1000亩以上。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平原地区水稻亩产≥500公斤；丘陵山区水稻亩产≥400公斤。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024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如基本条件具备，请按以下标准评分（26项）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分值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一、完善基础条件</w:t>
            </w: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1.场区环境整洁、优美，养殖废弃物有效治理3分。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2.需要用水预处理的，具有养殖用水预处理设施设备且正常使用2分。配备水质检测仪器设备且正常使用1分。养殖用水符合《无公害食品淡水养殖用水水质》标准（查验水质检测报告）或更高标准的2分。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土壤环境质量符合《土壤环境质量标准》（GB15618-1995）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类以上标准。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水质达到《地表水环境质量标准》（GB3838-2002）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类以上标准。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4.具有养殖尾水净化处理设施或设备且正常使用。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5.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具有独立分设兽药和饲料仓库，仓库保持清洁整齐、干燥通风。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二、落实管理制度</w:t>
            </w: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8.渔用饲料来源于合法企业的合法产品（查验进货发票或凭证）。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11.使用渔用饲料符合《饲料和饲料添加剂管理条例》。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12.依法建立水产养殖生产记录制度，按时记载，内容详细完整准确。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13.依法建立水产养殖用药记录制度，按时记载，内容详细完整准确。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14.《水产养殖生产记录》《水产养殖用药记录》《水稻施肥用药记录》依法保存至售后2年以上。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3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</w:p>
    <w:tbl>
      <w:tblPr>
        <w:tblStyle w:val="9"/>
        <w:tblpPr w:leftFromText="180" w:rightFromText="180" w:vertAnchor="text" w:horzAnchor="margin" w:tblpXSpec="center" w:tblpY="2"/>
        <w:tblW w:w="102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2"/>
        <w:gridCol w:w="707"/>
        <w:gridCol w:w="992"/>
        <w:gridCol w:w="709"/>
        <w:gridCol w:w="2452"/>
        <w:gridCol w:w="1436"/>
        <w:gridCol w:w="712"/>
        <w:gridCol w:w="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28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988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712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分值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三、引领绿色发展</w:t>
            </w: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标准化生产：根据实际将稻田划分为若干标准化的综合种养单元，并建立了相应的先进稻渔生产技术、质量安全控制和稻渔工程标准。稻田划分为若干标准化的种养单元，建立了相应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"/>
              </w:rPr>
              <w:t>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技术操作、质量控制和工程建设标准。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17.规模化开发：平原地区3000-3500亩（1-2分）；3500-4000亩（2-4分）；4000亩以上（4-5分）。丘陵山区1000-1200亩（1-2分）；1200-1500亩（2-3分）；1500亩以上（4分）。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产业化经营；建立了苗种供应、生产管理、流通加工、产品销售等关键环节的产业化配套服务体系。产业化配套服务体系完善，且有加工能力强、休闲渔业带动作用明显等亮点（3分）；产业化配套服务体系完善（2分）；初步建立了产业化配套服务体系（1分）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品牌化运作：产品获得绿色食品认证（1分）；有机食品认证（2分）。拥有自主品牌（1分）；获得知名商标品牌称号（2分）。品牌溢价一倍到两倍（1分）；品牌溢价超过两倍（2分）。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水稻产量：平原地区水稻亩产500-550公斤（1-2分）；550-650公斤（2-3分）；650公斤以上（4分）。丘陵山区水稻亩产400-450公斤（1-2分）；450-500公斤（2-4分）；500公斤以上（4-5分）。通过有机产品认证的区域，亩产可适当降低30%左右。亩产降低35%-25%（1-2分）；降低25%-10%（2-3分）；降低少于10%（4分）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用药用肥：化肥使用量与水稻单作相比减少50%以上。减少50%-75%（1分）；减少75%以上（2分）；零化肥施用（3分）。农药使用量与水稻单作相比减少50%以上。减少50%-75%（1分）；减少75%以上（2分）；零农药施用（3分）。制定了严格的用药制度并切实执行（3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循环利用：可充分利用稻田天然生物饵料（2分）；可部分利用稻田天然生物饵料（1分）。可促进水稻秸秆还田利用。还田率≤40%（1分）；还田率＞40%（2分）。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产值利润：亩均利润与同等条件下水稻单作对比提高一倍以上。1-3倍（1-2分）；3-6倍（2-3分）；6倍以上（4分）。亩均增加利润高于2000元。2000-3000元/亩（1-2分）；3000-5000元/亩（2-3分）；5000元/亩以上（4分）。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辐射带动：联系带动50户-100户（1分）；100户-200户（2分）；200户以上（3分）。提高周边农户认知程度和技术水平。年培训联系户100-200人次（1分）；年培训联系户200人次以上（2分）。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就业增收：就业岗位占户数30%-60%（1-2分），60%以上（3分），或建立了公平合理的利益共享机制并有效执行（3分）。带动当地利益相关的农（渔）民人均年收入增长20%以上。增长20%-50%（1分），增长50%以上（2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融合发展：三产融合效果显著，二三产业产值占比在50%以上（3分）；30%-50%（2分）；有二三产业，产值占比低于30%（1分）。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881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合  计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100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（省级主管部门公章）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注：1.总分达到80分（含）以上为验收合格。</w:t>
      </w:r>
    </w:p>
    <w:p>
      <w:pPr>
        <w:ind w:firstLine="411" w:firstLineChars="195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2.双面打印后填写，样式在渔业渔政管理局网站（www.yyj.moa.gov.cn）下载。</w:t>
      </w:r>
    </w:p>
    <w:sectPr>
      <w:footerReference r:id="rId3" w:type="default"/>
      <w:pgSz w:w="11906" w:h="16838"/>
      <w:pgMar w:top="964" w:right="1247" w:bottom="964" w:left="1247" w:header="851" w:footer="992" w:gutter="0"/>
      <w:pgNumType w:fmt="numberInDash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6DB97"/>
    <w:multiLevelType w:val="singleLevel"/>
    <w:tmpl w:val="5F06DB9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D"/>
    <w:rsid w:val="00087195"/>
    <w:rsid w:val="001E4884"/>
    <w:rsid w:val="0024173B"/>
    <w:rsid w:val="002630DC"/>
    <w:rsid w:val="002B106F"/>
    <w:rsid w:val="002D36CF"/>
    <w:rsid w:val="00340F44"/>
    <w:rsid w:val="00423936"/>
    <w:rsid w:val="00457989"/>
    <w:rsid w:val="00457F8D"/>
    <w:rsid w:val="004A20B2"/>
    <w:rsid w:val="004D7F7D"/>
    <w:rsid w:val="006C7BC9"/>
    <w:rsid w:val="007042E5"/>
    <w:rsid w:val="00711EC4"/>
    <w:rsid w:val="00997B2B"/>
    <w:rsid w:val="00A45B27"/>
    <w:rsid w:val="00A64028"/>
    <w:rsid w:val="00A90FF6"/>
    <w:rsid w:val="00AB79AB"/>
    <w:rsid w:val="00AF5D1A"/>
    <w:rsid w:val="00C76031"/>
    <w:rsid w:val="00DD5BDB"/>
    <w:rsid w:val="00E26CBB"/>
    <w:rsid w:val="00EF7E8D"/>
    <w:rsid w:val="03871F45"/>
    <w:rsid w:val="0493ED27"/>
    <w:rsid w:val="167EEF9B"/>
    <w:rsid w:val="1B416F9B"/>
    <w:rsid w:val="1DFF8329"/>
    <w:rsid w:val="23F10F66"/>
    <w:rsid w:val="2F7FF699"/>
    <w:rsid w:val="3FE77934"/>
    <w:rsid w:val="557A2020"/>
    <w:rsid w:val="558B3DE2"/>
    <w:rsid w:val="5FEDC6C6"/>
    <w:rsid w:val="5FFE35CC"/>
    <w:rsid w:val="66F80116"/>
    <w:rsid w:val="6BF75C6B"/>
    <w:rsid w:val="6D27827D"/>
    <w:rsid w:val="6EC602B2"/>
    <w:rsid w:val="70A2FA06"/>
    <w:rsid w:val="72A773D0"/>
    <w:rsid w:val="73FC3599"/>
    <w:rsid w:val="755B3272"/>
    <w:rsid w:val="755DFE2C"/>
    <w:rsid w:val="75BD6326"/>
    <w:rsid w:val="77E78A8A"/>
    <w:rsid w:val="77FF02F0"/>
    <w:rsid w:val="79D4BABB"/>
    <w:rsid w:val="7AAB26A6"/>
    <w:rsid w:val="7BDEF946"/>
    <w:rsid w:val="7BFF345B"/>
    <w:rsid w:val="7FDFA340"/>
    <w:rsid w:val="7FFFE59D"/>
    <w:rsid w:val="9D59D355"/>
    <w:rsid w:val="9DCF412D"/>
    <w:rsid w:val="9E7FE373"/>
    <w:rsid w:val="9F2800B4"/>
    <w:rsid w:val="AEBF6706"/>
    <w:rsid w:val="B647A95E"/>
    <w:rsid w:val="B8E6C2E2"/>
    <w:rsid w:val="BBFDA78E"/>
    <w:rsid w:val="BFDFCA45"/>
    <w:rsid w:val="BFFF170B"/>
    <w:rsid w:val="C8343204"/>
    <w:rsid w:val="D3F2A31F"/>
    <w:rsid w:val="DF6F06C9"/>
    <w:rsid w:val="DFF99F7B"/>
    <w:rsid w:val="EDFE70F3"/>
    <w:rsid w:val="EDFFC3D8"/>
    <w:rsid w:val="EFBB9F7A"/>
    <w:rsid w:val="EFFF3EFA"/>
    <w:rsid w:val="F55A3F04"/>
    <w:rsid w:val="F5B7D761"/>
    <w:rsid w:val="F6CF4AB8"/>
    <w:rsid w:val="F6DF5E7C"/>
    <w:rsid w:val="F76F2B4D"/>
    <w:rsid w:val="F7DF0472"/>
    <w:rsid w:val="FB3FA1EE"/>
    <w:rsid w:val="FBB5D43D"/>
    <w:rsid w:val="FBF5F2D7"/>
    <w:rsid w:val="FBFDB9B5"/>
    <w:rsid w:val="FCDE09C8"/>
    <w:rsid w:val="FD7F689F"/>
    <w:rsid w:val="FDF3CF7A"/>
    <w:rsid w:val="FF72F5B8"/>
    <w:rsid w:val="FF7B3441"/>
    <w:rsid w:val="FF7EA0D6"/>
    <w:rsid w:val="FFAA9AA3"/>
    <w:rsid w:val="FFB749FD"/>
    <w:rsid w:val="FFBF9E16"/>
    <w:rsid w:val="FFD2932F"/>
    <w:rsid w:val="FFD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  <w:rPr>
      <w:rFonts w:ascii="宋体" w:hAnsi="宋体" w:eastAsia="宋体" w:cs="Times New Roman"/>
      <w:b/>
      <w:sz w:val="44"/>
      <w:szCs w:val="44"/>
    </w:rPr>
  </w:style>
  <w:style w:type="paragraph" w:styleId="4">
    <w:name w:val="Balloon Text"/>
    <w:basedOn w:val="1"/>
    <w:link w:val="1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3 Char1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正文文本缩进 3 Char"/>
    <w:basedOn w:val="10"/>
    <w:link w:val="7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7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  <w:style w:type="character" w:customStyle="1" w:styleId="18">
    <w:name w:val="批注框文本 Char"/>
    <w:basedOn w:val="10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日期 Char"/>
    <w:basedOn w:val="10"/>
    <w:link w:val="3"/>
    <w:qFormat/>
    <w:uiPriority w:val="0"/>
    <w:rPr>
      <w:rFonts w:ascii="宋体" w:hAnsi="宋体" w:eastAsia="宋体" w:cs="Times New Roman"/>
      <w:b/>
      <w:sz w:val="44"/>
      <w:szCs w:val="44"/>
    </w:rPr>
  </w:style>
  <w:style w:type="paragraph" w:customStyle="1" w:styleId="21">
    <w:name w:val="Char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1599</Words>
  <Characters>9117</Characters>
  <Lines>75</Lines>
  <Paragraphs>21</Paragraphs>
  <TotalTime>5</TotalTime>
  <ScaleCrop>false</ScaleCrop>
  <LinksUpToDate>false</LinksUpToDate>
  <CharactersWithSpaces>10695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2019-10-18T06:26:00Z</dcterms:created>
  <dc:creator>朱健祥</dc:creator>
  <cp:lastModifiedBy>greatwall</cp:lastModifiedBy>
  <cp:lastPrinted>2020-05-08T14:31:00Z</cp:lastPrinted>
  <dcterms:modified xsi:type="dcterms:W3CDTF">2022-05-26T16:32:17Z</dcterms:modified>
  <dc:title>附件1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