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adjustRightInd w:val="0"/>
        <w:snapToGrid w:val="0"/>
        <w:spacing w:before="0" w:beforeLines="0" w:after="0" w:afterLines="0" w:line="590" w:lineRule="exact"/>
        <w:ind w:firstLine="0" w:firstLineChars="0"/>
        <w:jc w:val="left"/>
        <w:rPr>
          <w:rFonts w:hint="eastAsia" w:ascii="黑体" w:hAnsi="黑体" w:eastAsia="黑体" w:cs="黑体"/>
          <w:b w:val="0"/>
          <w:bCs w:val="0"/>
          <w:i w:val="0"/>
          <w:color w:val="auto"/>
          <w:kern w:val="0"/>
          <w:sz w:val="32"/>
          <w:szCs w:val="32"/>
          <w:u w:val="none"/>
          <w:lang w:val="en-US" w:eastAsia="zh-CN" w:bidi="ar"/>
        </w:rPr>
      </w:pPr>
      <w:r>
        <w:rPr>
          <w:rFonts w:hint="eastAsia" w:ascii="黑体" w:hAnsi="黑体" w:eastAsia="黑体" w:cs="黑体"/>
          <w:b w:val="0"/>
          <w:bCs w:val="0"/>
          <w:i w:val="0"/>
          <w:color w:val="auto"/>
          <w:kern w:val="0"/>
          <w:sz w:val="32"/>
          <w:szCs w:val="32"/>
          <w:u w:val="none"/>
          <w:lang w:val="en-US" w:eastAsia="zh-CN" w:bidi="ar"/>
        </w:rPr>
        <w:t>附件12</w:t>
      </w:r>
    </w:p>
    <w:p>
      <w:pPr>
        <w:pStyle w:val="7"/>
        <w:keepNext w:val="0"/>
        <w:keepLines w:val="0"/>
        <w:adjustRightInd w:val="0"/>
        <w:snapToGrid w:val="0"/>
        <w:spacing w:before="0" w:beforeLines="0" w:after="0" w:afterLines="0" w:line="590" w:lineRule="exact"/>
        <w:ind w:firstLine="0" w:firstLineChars="0"/>
        <w:jc w:val="left"/>
        <w:rPr>
          <w:rFonts w:hint="default" w:ascii="黑体" w:hAnsi="黑体" w:eastAsia="黑体" w:cs="黑体"/>
          <w:b w:val="0"/>
          <w:bCs w:val="0"/>
          <w:i w:val="0"/>
          <w:color w:val="auto"/>
          <w:kern w:val="0"/>
          <w:sz w:val="32"/>
          <w:szCs w:val="32"/>
          <w:u w:val="none"/>
          <w:lang w:val="en-US" w:eastAsia="zh-CN" w:bidi="ar"/>
        </w:rPr>
      </w:pP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方正小标宋简体" w:hAnsi="方正小标宋简体" w:eastAsia="方正小标宋简体" w:cs="方正小标宋简体"/>
          <w:color w:val="000000"/>
          <w:sz w:val="44"/>
          <w:szCs w:val="44"/>
          <w:shd w:val="clear" w:color="auto" w:fill="FFFFFF"/>
          <w:lang w:val="en-US" w:eastAsia="zh-CN"/>
        </w:rPr>
      </w:pPr>
      <w:r>
        <w:rPr>
          <w:rFonts w:hint="default" w:ascii="方正小标宋简体" w:hAnsi="方正小标宋简体" w:eastAsia="方正小标宋简体" w:cs="方正小标宋简体"/>
          <w:color w:val="000000"/>
          <w:sz w:val="44"/>
          <w:szCs w:val="44"/>
          <w:shd w:val="clear" w:color="auto" w:fill="FFFFFF"/>
          <w:lang w:val="en-US" w:eastAsia="zh-CN"/>
        </w:rPr>
        <w:t>202</w:t>
      </w:r>
      <w:r>
        <w:rPr>
          <w:rFonts w:hint="eastAsia" w:ascii="方正小标宋简体" w:hAnsi="方正小标宋简体" w:eastAsia="方正小标宋简体" w:cs="方正小标宋简体"/>
          <w:color w:val="000000"/>
          <w:sz w:val="44"/>
          <w:szCs w:val="44"/>
          <w:shd w:val="clear" w:color="auto" w:fill="FFFFFF"/>
          <w:lang w:val="en-US" w:eastAsia="zh-CN"/>
        </w:rPr>
        <w:t>4年病害猪无害化处理财政补贴资金</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方正小标宋简体" w:hAnsi="方正小标宋简体" w:eastAsia="方正小标宋简体" w:cs="方正小标宋简体"/>
          <w:color w:val="000000"/>
          <w:sz w:val="44"/>
          <w:szCs w:val="44"/>
          <w:shd w:val="clear" w:color="auto" w:fill="FFFFFF"/>
          <w:lang w:val="en-US" w:eastAsia="zh-CN"/>
        </w:rPr>
      </w:pPr>
      <w:r>
        <w:rPr>
          <w:rFonts w:hint="eastAsia" w:ascii="方正小标宋简体" w:hAnsi="方正小标宋简体" w:eastAsia="方正小标宋简体" w:cs="方正小标宋简体"/>
          <w:color w:val="000000"/>
          <w:sz w:val="44"/>
          <w:szCs w:val="44"/>
          <w:shd w:val="clear" w:color="auto" w:fill="FFFFFF"/>
          <w:lang w:val="en-US" w:eastAsia="zh-CN"/>
        </w:rPr>
        <w:t>申报指南</w:t>
      </w:r>
    </w:p>
    <w:p>
      <w:pPr>
        <w:pStyle w:val="3"/>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600" w:lineRule="exact"/>
        <w:ind w:firstLine="640" w:firstLineChars="200"/>
        <w:textAlignment w:val="auto"/>
        <w:rPr>
          <w:rFonts w:hint="eastAsia" w:ascii="CESI黑体-GB2312" w:hAnsi="CESI黑体-GB2312" w:eastAsia="CESI黑体-GB2312" w:cs="CESI黑体-GB2312"/>
          <w:color w:val="auto"/>
          <w:sz w:val="32"/>
          <w:szCs w:val="32"/>
          <w:shd w:val="clear" w:color="auto" w:fill="FFFFFF"/>
          <w:lang w:val="en-US" w:eastAsia="zh-CN"/>
        </w:rPr>
      </w:pPr>
    </w:p>
    <w:p>
      <w:pPr>
        <w:pStyle w:val="3"/>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600" w:lineRule="exact"/>
        <w:ind w:firstLine="640" w:firstLineChars="200"/>
        <w:textAlignment w:val="auto"/>
        <w:rPr>
          <w:rFonts w:hint="default" w:ascii="仿宋_GB2312" w:hAnsi="Courier New" w:eastAsia="仿宋_GB2312" w:cs="Courier New"/>
          <w:color w:val="auto"/>
          <w:sz w:val="32"/>
          <w:szCs w:val="32"/>
          <w:shd w:val="clear" w:color="auto" w:fill="FFFFFF"/>
          <w:lang w:val="en-US" w:eastAsia="zh-CN"/>
        </w:rPr>
      </w:pPr>
      <w:r>
        <w:rPr>
          <w:rFonts w:hint="eastAsia" w:ascii="CESI黑体-GB2312" w:hAnsi="CESI黑体-GB2312" w:eastAsia="CESI黑体-GB2312" w:cs="CESI黑体-GB2312"/>
          <w:color w:val="auto"/>
          <w:sz w:val="32"/>
          <w:szCs w:val="32"/>
          <w:shd w:val="clear" w:color="auto" w:fill="FFFFFF"/>
          <w:lang w:val="en-US" w:eastAsia="zh-CN"/>
        </w:rPr>
        <w:t>一、绩效目标。</w:t>
      </w:r>
      <w:r>
        <w:rPr>
          <w:rFonts w:hint="eastAsia" w:ascii="仿宋_GB2312" w:hAnsi="Courier New" w:eastAsia="仿宋_GB2312" w:cs="Courier New"/>
          <w:color w:val="auto"/>
          <w:sz w:val="32"/>
          <w:szCs w:val="32"/>
          <w:shd w:val="clear" w:color="auto" w:fill="FFFFFF"/>
          <w:lang w:val="en-US" w:eastAsia="zh-CN"/>
        </w:rPr>
        <w:t>落实国家对生猪屠宰环节无害化处理补助政策，加强屠宰环节无害化处理监管，保障猪肉产品质量安全。</w:t>
      </w:r>
    </w:p>
    <w:p>
      <w:pPr>
        <w:pStyle w:val="3"/>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600" w:lineRule="exact"/>
        <w:ind w:firstLine="640" w:firstLineChars="200"/>
        <w:textAlignment w:val="auto"/>
        <w:rPr>
          <w:rFonts w:hint="eastAsia" w:ascii="仿宋_GB2312" w:hAnsi="Courier New" w:eastAsia="仿宋_GB2312" w:cs="Courier New"/>
          <w:color w:val="auto"/>
          <w:sz w:val="32"/>
          <w:szCs w:val="32"/>
          <w:shd w:val="clear" w:color="auto" w:fill="FFFFFF"/>
          <w:lang w:eastAsia="zh-CN"/>
        </w:rPr>
      </w:pPr>
      <w:r>
        <w:rPr>
          <w:rFonts w:hint="eastAsia" w:ascii="CESI黑体-GB2312" w:hAnsi="CESI黑体-GB2312" w:eastAsia="CESI黑体-GB2312" w:cs="CESI黑体-GB2312"/>
          <w:color w:val="auto"/>
          <w:sz w:val="32"/>
          <w:szCs w:val="32"/>
          <w:shd w:val="clear" w:color="auto" w:fill="FFFFFF"/>
          <w:lang w:val="en-US" w:eastAsia="zh-CN"/>
        </w:rPr>
        <w:t>二、补贴对象。</w:t>
      </w:r>
      <w:r>
        <w:rPr>
          <w:rFonts w:hint="eastAsia" w:ascii="仿宋_GB2312" w:hAnsi="Courier New" w:eastAsia="仿宋_GB2312" w:cs="Courier New"/>
          <w:color w:val="auto"/>
          <w:sz w:val="32"/>
          <w:szCs w:val="32"/>
          <w:shd w:val="clear" w:color="auto" w:fill="FFFFFF"/>
          <w:lang w:eastAsia="zh-CN"/>
        </w:rPr>
        <w:t>本项目由</w:t>
      </w:r>
      <w:r>
        <w:rPr>
          <w:rFonts w:hint="eastAsia" w:ascii="仿宋_GB2312" w:hAnsi="Courier New" w:eastAsia="仿宋_GB2312" w:cs="Courier New"/>
          <w:color w:val="auto"/>
          <w:sz w:val="32"/>
          <w:szCs w:val="32"/>
          <w:shd w:val="clear" w:color="auto" w:fill="FFFFFF"/>
          <w:lang w:val="en-US" w:eastAsia="zh-CN"/>
        </w:rPr>
        <w:t>我市生猪</w:t>
      </w:r>
      <w:r>
        <w:rPr>
          <w:rFonts w:hint="eastAsia" w:ascii="仿宋_GB2312" w:hAnsi="Courier New" w:eastAsia="仿宋_GB2312" w:cs="Courier New"/>
          <w:color w:val="auto"/>
          <w:sz w:val="32"/>
          <w:szCs w:val="32"/>
          <w:shd w:val="clear" w:color="auto" w:fill="FFFFFF"/>
          <w:lang w:eastAsia="zh-CN"/>
        </w:rPr>
        <w:t>定点屠宰企业集中申请，</w:t>
      </w:r>
      <w:r>
        <w:rPr>
          <w:rFonts w:hint="eastAsia" w:ascii="仿宋_GB2312" w:hAnsi="Courier New" w:eastAsia="仿宋_GB2312" w:cs="Courier New"/>
          <w:color w:val="auto"/>
          <w:sz w:val="32"/>
          <w:szCs w:val="32"/>
          <w:shd w:val="clear" w:color="auto" w:fill="FFFFFF"/>
          <w:lang w:val="en-US" w:eastAsia="zh-CN"/>
        </w:rPr>
        <w:t>补贴对象为在我市生猪</w:t>
      </w:r>
      <w:r>
        <w:rPr>
          <w:rFonts w:hint="eastAsia" w:ascii="仿宋_GB2312" w:hAnsi="Courier New" w:eastAsia="仿宋_GB2312" w:cs="Courier New"/>
          <w:color w:val="auto"/>
          <w:sz w:val="32"/>
          <w:szCs w:val="32"/>
          <w:shd w:val="clear" w:color="auto" w:fill="FFFFFF"/>
          <w:lang w:eastAsia="zh-CN"/>
        </w:rPr>
        <w:t>定点屠宰企业</w:t>
      </w:r>
      <w:r>
        <w:rPr>
          <w:rFonts w:hint="eastAsia" w:ascii="仿宋_GB2312" w:hAnsi="Courier New" w:eastAsia="仿宋_GB2312" w:cs="Courier New"/>
          <w:color w:val="auto"/>
          <w:sz w:val="32"/>
          <w:szCs w:val="32"/>
          <w:shd w:val="clear" w:color="auto" w:fill="FFFFFF"/>
          <w:lang w:val="en-US" w:eastAsia="zh-CN"/>
        </w:rPr>
        <w:t>内委托</w:t>
      </w:r>
      <w:r>
        <w:rPr>
          <w:rFonts w:hint="eastAsia" w:ascii="仿宋_GB2312" w:hAnsi="Courier New" w:eastAsia="仿宋_GB2312" w:cs="Courier New"/>
          <w:color w:val="auto"/>
          <w:sz w:val="32"/>
          <w:szCs w:val="32"/>
          <w:shd w:val="clear" w:color="auto" w:fill="FFFFFF"/>
          <w:lang w:eastAsia="zh-CN"/>
        </w:rPr>
        <w:t>屠宰生猪的货主和自宰经营的屠宰企业。有下列情形之一的不予补贴：</w:t>
      </w:r>
    </w:p>
    <w:p>
      <w:pPr>
        <w:pStyle w:val="3"/>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600" w:lineRule="exact"/>
        <w:ind w:firstLine="640" w:firstLineChars="200"/>
        <w:textAlignment w:val="auto"/>
        <w:rPr>
          <w:rFonts w:hint="eastAsia" w:ascii="仿宋_GB2312" w:hAnsi="Courier New" w:eastAsia="仿宋_GB2312" w:cs="Courier New"/>
          <w:color w:val="auto"/>
          <w:sz w:val="32"/>
          <w:szCs w:val="32"/>
          <w:shd w:val="clear" w:color="auto" w:fill="FFFFFF"/>
          <w:lang w:eastAsia="zh-CN"/>
        </w:rPr>
      </w:pPr>
      <w:r>
        <w:rPr>
          <w:rFonts w:hint="eastAsia" w:ascii="仿宋_GB2312" w:hAnsi="Courier New" w:eastAsia="仿宋_GB2312" w:cs="Courier New"/>
          <w:color w:val="auto"/>
          <w:sz w:val="32"/>
          <w:szCs w:val="32"/>
          <w:shd w:val="clear" w:color="auto" w:fill="FFFFFF"/>
          <w:lang w:eastAsia="zh-CN"/>
        </w:rPr>
        <w:t>（一）未按规定进行生猪屠宰以及逃避监督检查的；</w:t>
      </w:r>
    </w:p>
    <w:p>
      <w:pPr>
        <w:pStyle w:val="3"/>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600" w:lineRule="exact"/>
        <w:ind w:firstLine="640" w:firstLineChars="200"/>
        <w:textAlignment w:val="auto"/>
        <w:rPr>
          <w:rFonts w:hint="eastAsia" w:ascii="仿宋_GB2312" w:hAnsi="Courier New" w:eastAsia="仿宋_GB2312" w:cs="Courier New"/>
          <w:color w:val="auto"/>
          <w:sz w:val="32"/>
          <w:szCs w:val="32"/>
          <w:shd w:val="clear" w:color="auto" w:fill="FFFFFF"/>
          <w:lang w:eastAsia="zh-CN"/>
        </w:rPr>
      </w:pPr>
      <w:r>
        <w:rPr>
          <w:rFonts w:hint="eastAsia" w:ascii="仿宋_GB2312" w:hAnsi="Courier New" w:eastAsia="仿宋_GB2312" w:cs="Courier New"/>
          <w:color w:val="auto"/>
          <w:sz w:val="32"/>
          <w:szCs w:val="32"/>
          <w:shd w:val="clear" w:color="auto" w:fill="FFFFFF"/>
          <w:lang w:eastAsia="zh-CN"/>
        </w:rPr>
        <w:t>（二）未按规定填报屠宰台账记录的；</w:t>
      </w:r>
    </w:p>
    <w:p>
      <w:pPr>
        <w:pStyle w:val="3"/>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600" w:lineRule="exact"/>
        <w:ind w:firstLine="640" w:firstLineChars="200"/>
        <w:textAlignment w:val="auto"/>
        <w:rPr>
          <w:rFonts w:hint="eastAsia" w:ascii="仿宋_GB2312" w:hAnsi="Courier New" w:eastAsia="仿宋_GB2312" w:cs="Courier New"/>
          <w:color w:val="auto"/>
          <w:sz w:val="32"/>
          <w:szCs w:val="32"/>
          <w:shd w:val="clear" w:color="auto" w:fill="FFFFFF"/>
          <w:lang w:eastAsia="zh-CN"/>
        </w:rPr>
      </w:pPr>
      <w:r>
        <w:rPr>
          <w:rFonts w:hint="eastAsia" w:ascii="仿宋_GB2312" w:hAnsi="Courier New" w:eastAsia="仿宋_GB2312" w:cs="Courier New"/>
          <w:color w:val="auto"/>
          <w:sz w:val="32"/>
          <w:szCs w:val="32"/>
          <w:shd w:val="clear" w:color="auto" w:fill="FFFFFF"/>
          <w:lang w:eastAsia="zh-CN"/>
        </w:rPr>
        <w:t>（三）未按规定进行无害化处理的；</w:t>
      </w:r>
    </w:p>
    <w:p>
      <w:pPr>
        <w:pStyle w:val="3"/>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600" w:lineRule="exact"/>
        <w:ind w:firstLine="640" w:firstLineChars="200"/>
        <w:textAlignment w:val="auto"/>
        <w:rPr>
          <w:rFonts w:hint="eastAsia" w:ascii="仿宋_GB2312" w:hAnsi="Courier New" w:eastAsia="仿宋_GB2312" w:cs="Courier New"/>
          <w:color w:val="auto"/>
          <w:sz w:val="32"/>
          <w:szCs w:val="32"/>
          <w:shd w:val="clear" w:color="auto" w:fill="FFFFFF"/>
          <w:lang w:eastAsia="zh-CN"/>
        </w:rPr>
      </w:pPr>
      <w:r>
        <w:rPr>
          <w:rFonts w:hint="eastAsia" w:ascii="仿宋_GB2312" w:hAnsi="Courier New" w:eastAsia="仿宋_GB2312" w:cs="Courier New"/>
          <w:color w:val="auto"/>
          <w:sz w:val="32"/>
          <w:szCs w:val="32"/>
          <w:shd w:val="clear" w:color="auto" w:fill="FFFFFF"/>
          <w:lang w:eastAsia="zh-CN"/>
        </w:rPr>
        <w:t>（四）未主动申报无害化处理费用补助的；</w:t>
      </w:r>
    </w:p>
    <w:p>
      <w:pPr>
        <w:pStyle w:val="3"/>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600" w:lineRule="exact"/>
        <w:ind w:firstLine="640" w:firstLineChars="200"/>
        <w:textAlignment w:val="auto"/>
        <w:rPr>
          <w:rFonts w:hint="eastAsia" w:ascii="仿宋_GB2312" w:hAnsi="Courier New" w:eastAsia="仿宋_GB2312" w:cs="Courier New"/>
          <w:color w:val="auto"/>
          <w:sz w:val="32"/>
          <w:szCs w:val="32"/>
          <w:shd w:val="clear" w:color="auto" w:fill="FFFFFF"/>
          <w:lang w:eastAsia="zh-CN"/>
        </w:rPr>
      </w:pPr>
      <w:r>
        <w:rPr>
          <w:rFonts w:hint="eastAsia" w:ascii="仿宋_GB2312" w:hAnsi="Courier New" w:eastAsia="仿宋_GB2312" w:cs="Courier New"/>
          <w:color w:val="auto"/>
          <w:sz w:val="32"/>
          <w:szCs w:val="32"/>
          <w:shd w:val="clear" w:color="auto" w:fill="FFFFFF"/>
          <w:lang w:eastAsia="zh-CN"/>
        </w:rPr>
        <w:t>（五）虚报无害化处理数量，骗取套取国家补贴的；</w:t>
      </w:r>
    </w:p>
    <w:p>
      <w:pPr>
        <w:pStyle w:val="3"/>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600" w:lineRule="exact"/>
        <w:ind w:firstLine="640" w:firstLineChars="200"/>
        <w:textAlignment w:val="auto"/>
        <w:rPr>
          <w:rFonts w:hint="eastAsia" w:ascii="仿宋_GB2312" w:hAnsi="Courier New" w:eastAsia="仿宋_GB2312" w:cs="Courier New"/>
          <w:color w:val="auto"/>
          <w:sz w:val="32"/>
          <w:szCs w:val="32"/>
          <w:shd w:val="clear" w:color="auto" w:fill="FFFFFF"/>
          <w:lang w:eastAsia="zh-CN"/>
        </w:rPr>
      </w:pPr>
      <w:r>
        <w:rPr>
          <w:rFonts w:hint="eastAsia" w:ascii="仿宋_GB2312" w:hAnsi="Courier New" w:eastAsia="仿宋_GB2312" w:cs="Courier New"/>
          <w:color w:val="auto"/>
          <w:sz w:val="32"/>
          <w:szCs w:val="32"/>
          <w:shd w:val="clear" w:color="auto" w:fill="FFFFFF"/>
          <w:lang w:eastAsia="zh-CN"/>
        </w:rPr>
        <w:t>（六）有其他违法违规行为的。</w:t>
      </w:r>
    </w:p>
    <w:p>
      <w:pPr>
        <w:pStyle w:val="3"/>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600" w:lineRule="exact"/>
        <w:ind w:firstLine="640" w:firstLineChars="200"/>
        <w:textAlignment w:val="auto"/>
        <w:rPr>
          <w:rFonts w:hint="eastAsia" w:ascii="仿宋_GB2312" w:hAnsi="Courier New" w:eastAsia="仿宋_GB2312" w:cs="Courier New"/>
          <w:color w:val="auto"/>
          <w:sz w:val="32"/>
          <w:szCs w:val="32"/>
          <w:shd w:val="clear" w:color="auto" w:fill="FFFFFF"/>
          <w:lang w:eastAsia="zh-CN"/>
        </w:rPr>
      </w:pPr>
      <w:r>
        <w:rPr>
          <w:rFonts w:hint="eastAsia" w:ascii="CESI黑体-GB2312" w:hAnsi="CESI黑体-GB2312" w:eastAsia="CESI黑体-GB2312" w:cs="CESI黑体-GB2312"/>
          <w:color w:val="auto"/>
          <w:sz w:val="32"/>
          <w:szCs w:val="32"/>
          <w:shd w:val="clear" w:color="auto" w:fill="FFFFFF"/>
          <w:lang w:val="en-US" w:eastAsia="zh-CN"/>
        </w:rPr>
        <w:t>三、补贴范围。</w:t>
      </w:r>
      <w:r>
        <w:rPr>
          <w:rFonts w:hint="eastAsia" w:ascii="仿宋_GB2312" w:hAnsi="Courier New" w:eastAsia="仿宋_GB2312" w:cs="Courier New"/>
          <w:color w:val="auto"/>
          <w:sz w:val="32"/>
          <w:szCs w:val="32"/>
          <w:shd w:val="clear" w:color="auto" w:fill="FFFFFF"/>
          <w:lang w:val="en-US" w:eastAsia="zh-CN"/>
        </w:rPr>
        <w:t>在生猪定点屠宰企业内发现</w:t>
      </w:r>
      <w:r>
        <w:rPr>
          <w:rFonts w:hint="eastAsia" w:ascii="仿宋_GB2312" w:hAnsi="Courier New" w:eastAsia="仿宋_GB2312" w:cs="Courier New"/>
          <w:color w:val="auto"/>
          <w:sz w:val="32"/>
          <w:szCs w:val="32"/>
          <w:shd w:val="clear" w:color="auto" w:fill="FFFFFF"/>
          <w:lang w:eastAsia="zh-CN"/>
        </w:rPr>
        <w:t>以下生猪及生猪产品，按规定进行无害化处理的，可按标准给予补贴：</w:t>
      </w:r>
    </w:p>
    <w:p>
      <w:pPr>
        <w:pStyle w:val="3"/>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600" w:lineRule="exact"/>
        <w:ind w:firstLine="640" w:firstLineChars="200"/>
        <w:textAlignment w:val="auto"/>
        <w:rPr>
          <w:rFonts w:hint="eastAsia" w:ascii="仿宋_GB2312" w:hAnsi="Courier New" w:eastAsia="仿宋_GB2312" w:cs="Courier New"/>
          <w:color w:val="auto"/>
          <w:sz w:val="32"/>
          <w:szCs w:val="32"/>
          <w:shd w:val="clear" w:color="auto" w:fill="FFFFFF"/>
          <w:lang w:eastAsia="zh-CN"/>
        </w:rPr>
      </w:pPr>
      <w:r>
        <w:rPr>
          <w:rFonts w:hint="eastAsia" w:ascii="仿宋_GB2312" w:hAnsi="Courier New" w:eastAsia="仿宋_GB2312" w:cs="Courier New"/>
          <w:color w:val="auto"/>
          <w:sz w:val="32"/>
          <w:szCs w:val="32"/>
          <w:shd w:val="clear" w:color="auto" w:fill="FFFFFF"/>
          <w:lang w:eastAsia="zh-CN"/>
        </w:rPr>
        <w:t>（一）活猪进入</w:t>
      </w:r>
      <w:r>
        <w:rPr>
          <w:rFonts w:hint="eastAsia" w:ascii="仿宋_GB2312" w:hAnsi="Courier New" w:eastAsia="仿宋_GB2312" w:cs="Courier New"/>
          <w:color w:val="auto"/>
          <w:sz w:val="32"/>
          <w:szCs w:val="32"/>
          <w:shd w:val="clear" w:color="auto" w:fill="FFFFFF"/>
          <w:lang w:val="en-US" w:eastAsia="zh-CN"/>
        </w:rPr>
        <w:t>生猪定点屠宰企业后，在待宰静养期间发现并经确认为</w:t>
      </w:r>
      <w:r>
        <w:rPr>
          <w:rFonts w:hint="eastAsia" w:ascii="仿宋_GB2312" w:hAnsi="Courier New" w:eastAsia="仿宋_GB2312" w:cs="Courier New"/>
          <w:color w:val="auto"/>
          <w:sz w:val="32"/>
          <w:szCs w:val="32"/>
          <w:shd w:val="clear" w:color="auto" w:fill="FFFFFF"/>
          <w:lang w:eastAsia="zh-CN"/>
        </w:rPr>
        <w:t>国家规定的病害活猪、病死或死因不明的生猪；</w:t>
      </w:r>
    </w:p>
    <w:p>
      <w:pPr>
        <w:pStyle w:val="3"/>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600" w:lineRule="exact"/>
        <w:ind w:firstLine="640" w:firstLineChars="200"/>
        <w:textAlignment w:val="auto"/>
        <w:rPr>
          <w:rFonts w:hint="eastAsia" w:ascii="仿宋_GB2312" w:hAnsi="Courier New" w:eastAsia="仿宋_GB2312" w:cs="Courier New"/>
          <w:color w:val="auto"/>
          <w:sz w:val="32"/>
          <w:szCs w:val="32"/>
          <w:shd w:val="clear" w:color="auto" w:fill="FFFFFF"/>
          <w:lang w:val="en-US" w:eastAsia="zh-CN"/>
        </w:rPr>
      </w:pPr>
      <w:r>
        <w:rPr>
          <w:rFonts w:hint="eastAsia" w:ascii="仿宋_GB2312" w:hAnsi="Courier New" w:eastAsia="仿宋_GB2312" w:cs="Courier New"/>
          <w:color w:val="auto"/>
          <w:sz w:val="32"/>
          <w:szCs w:val="32"/>
          <w:shd w:val="clear" w:color="auto" w:fill="FFFFFF"/>
          <w:lang w:eastAsia="zh-CN"/>
        </w:rPr>
        <w:t>（二）屠宰过程中经检疫或肉品品质检验确认为不可食用的生猪胴体</w:t>
      </w:r>
      <w:r>
        <w:rPr>
          <w:rFonts w:hint="eastAsia" w:ascii="仿宋_GB2312" w:hAnsi="Courier New" w:eastAsia="仿宋_GB2312" w:cs="Courier New"/>
          <w:color w:val="auto"/>
          <w:sz w:val="32"/>
          <w:szCs w:val="32"/>
          <w:shd w:val="clear" w:color="auto" w:fill="FFFFFF"/>
          <w:lang w:val="en-US" w:eastAsia="zh-CN"/>
        </w:rPr>
        <w:t>；</w:t>
      </w:r>
    </w:p>
    <w:p>
      <w:pPr>
        <w:pStyle w:val="3"/>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600" w:lineRule="exact"/>
        <w:ind w:firstLine="640" w:firstLineChars="200"/>
        <w:textAlignment w:val="auto"/>
        <w:rPr>
          <w:rFonts w:hint="eastAsia" w:ascii="仿宋_GB2312" w:hAnsi="Courier New" w:eastAsia="仿宋_GB2312" w:cs="Courier New"/>
          <w:color w:val="auto"/>
          <w:sz w:val="32"/>
          <w:szCs w:val="32"/>
          <w:shd w:val="clear" w:color="auto" w:fill="FFFFFF"/>
          <w:lang w:eastAsia="zh-CN"/>
        </w:rPr>
      </w:pPr>
      <w:r>
        <w:rPr>
          <w:rFonts w:hint="eastAsia" w:ascii="仿宋_GB2312" w:hAnsi="Courier New" w:eastAsia="仿宋_GB2312" w:cs="Courier New"/>
          <w:color w:val="auto"/>
          <w:sz w:val="32"/>
          <w:szCs w:val="32"/>
          <w:shd w:val="clear" w:color="auto" w:fill="FFFFFF"/>
          <w:lang w:val="en-US" w:eastAsia="zh-CN"/>
        </w:rPr>
        <w:t>（三）</w:t>
      </w:r>
      <w:r>
        <w:rPr>
          <w:rFonts w:hint="eastAsia" w:ascii="仿宋_GB2312" w:hAnsi="Courier New" w:eastAsia="仿宋_GB2312" w:cs="Courier New"/>
          <w:color w:val="auto"/>
          <w:sz w:val="32"/>
          <w:szCs w:val="32"/>
          <w:shd w:val="clear" w:color="auto" w:fill="FFFFFF"/>
          <w:lang w:eastAsia="zh-CN"/>
        </w:rPr>
        <w:t>国家规定的其他应当进行无害化处理的生猪及生猪胴体。</w:t>
      </w:r>
    </w:p>
    <w:p>
      <w:pPr>
        <w:pStyle w:val="3"/>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600" w:lineRule="exact"/>
        <w:ind w:firstLine="640" w:firstLineChars="200"/>
        <w:textAlignment w:val="auto"/>
        <w:rPr>
          <w:rFonts w:hint="eastAsia" w:ascii="仿宋_GB2312" w:hAnsi="Courier New" w:eastAsia="仿宋_GB2312" w:cs="Courier New"/>
          <w:color w:val="auto"/>
          <w:sz w:val="32"/>
          <w:szCs w:val="32"/>
          <w:shd w:val="clear" w:color="auto" w:fill="FFFFFF"/>
          <w:lang w:val="en-US" w:eastAsia="zh-CN"/>
        </w:rPr>
      </w:pPr>
      <w:r>
        <w:rPr>
          <w:rFonts w:hint="eastAsia" w:ascii="CESI黑体-GB2312" w:hAnsi="CESI黑体-GB2312" w:eastAsia="CESI黑体-GB2312" w:cs="CESI黑体-GB2312"/>
          <w:color w:val="auto"/>
          <w:sz w:val="32"/>
          <w:szCs w:val="32"/>
          <w:shd w:val="clear" w:color="auto" w:fill="FFFFFF"/>
          <w:lang w:val="en-US" w:eastAsia="zh-CN"/>
        </w:rPr>
        <w:t>四、补贴标准。</w:t>
      </w:r>
      <w:r>
        <w:rPr>
          <w:rFonts w:hint="eastAsia" w:ascii="仿宋_GB2312" w:hAnsi="Courier New" w:eastAsia="仿宋_GB2312" w:cs="Courier New"/>
          <w:color w:val="auto"/>
          <w:sz w:val="32"/>
          <w:szCs w:val="32"/>
          <w:shd w:val="clear" w:color="auto" w:fill="FFFFFF"/>
          <w:lang w:val="en-US" w:eastAsia="zh-CN"/>
        </w:rPr>
        <w:t>对符合申报条件并审核通过的，给予每头400元补贴。</w:t>
      </w:r>
    </w:p>
    <w:p>
      <w:pPr>
        <w:pStyle w:val="3"/>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600" w:lineRule="exact"/>
        <w:ind w:firstLine="640" w:firstLineChars="200"/>
        <w:textAlignment w:val="auto"/>
        <w:rPr>
          <w:rFonts w:hint="eastAsia" w:ascii="仿宋_GB2312" w:hAnsi="Courier New" w:eastAsia="仿宋_GB2312" w:cs="Courier New"/>
          <w:color w:val="auto"/>
          <w:sz w:val="32"/>
          <w:szCs w:val="32"/>
          <w:shd w:val="clear" w:color="auto" w:fill="FFFFFF"/>
          <w:lang w:val="en-US" w:eastAsia="zh-CN"/>
        </w:rPr>
      </w:pPr>
      <w:r>
        <w:rPr>
          <w:rFonts w:hint="eastAsia" w:ascii="CESI黑体-GB2312" w:hAnsi="CESI黑体-GB2312" w:eastAsia="CESI黑体-GB2312" w:cs="CESI黑体-GB2312"/>
          <w:color w:val="auto"/>
          <w:sz w:val="32"/>
          <w:szCs w:val="32"/>
          <w:shd w:val="clear" w:color="auto" w:fill="FFFFFF"/>
          <w:lang w:val="en-US" w:eastAsia="zh-CN"/>
        </w:rPr>
        <w:t>五、申报流程及要求。</w:t>
      </w:r>
      <w:r>
        <w:rPr>
          <w:rFonts w:hint="eastAsia" w:ascii="仿宋_GB2312" w:hAnsi="Courier New" w:eastAsia="仿宋_GB2312" w:cs="Courier New"/>
          <w:color w:val="auto"/>
          <w:sz w:val="32"/>
          <w:szCs w:val="32"/>
          <w:shd w:val="clear" w:color="auto" w:fill="FFFFFF"/>
          <w:lang w:val="en-US" w:eastAsia="zh-CN"/>
        </w:rPr>
        <w:t>本项目采取“粤财扶助”线上和线下方式进行申报。“粤财扶助”中山平台网址https://czbt.czt.gd.gov.cn/#/home。具体开展申报时间、申报流程及要求将另</w:t>
      </w:r>
      <w:bookmarkStart w:id="0" w:name="_GoBack"/>
      <w:bookmarkEnd w:id="0"/>
      <w:r>
        <w:rPr>
          <w:rFonts w:hint="eastAsia" w:ascii="仿宋_GB2312" w:hAnsi="Courier New" w:eastAsia="仿宋_GB2312" w:cs="Courier New"/>
          <w:color w:val="auto"/>
          <w:sz w:val="32"/>
          <w:szCs w:val="32"/>
          <w:shd w:val="clear" w:color="auto" w:fill="FFFFFF"/>
          <w:lang w:val="en-US" w:eastAsia="zh-CN"/>
        </w:rPr>
        <w:t>文通知。（注：为落实推进以社会保障卡为载体实现惠民惠农财政补贴“一卡通”发放的要求，2024年屠宰环节病害猪无害化处理财政补贴资金申报原则上统一使用社会保障卡）</w:t>
      </w:r>
    </w:p>
    <w:p>
      <w:pPr>
        <w:pStyle w:val="3"/>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b w:val="0"/>
          <w:bCs w:val="0"/>
          <w:i w:val="0"/>
          <w:color w:val="auto"/>
          <w:kern w:val="0"/>
          <w:sz w:val="32"/>
          <w:szCs w:val="32"/>
          <w:u w:val="none"/>
          <w:lang w:val="en-US" w:eastAsia="zh-CN" w:bidi="ar"/>
        </w:rPr>
        <w:sectPr>
          <w:pgSz w:w="11905" w:h="16838"/>
          <w:pgMar w:top="1531" w:right="1871" w:bottom="1531" w:left="1871" w:header="850" w:footer="1417" w:gutter="0"/>
          <w:pgBorders>
            <w:top w:val="none" w:sz="0" w:space="0"/>
            <w:left w:val="none" w:sz="0" w:space="0"/>
            <w:bottom w:val="none" w:sz="0" w:space="0"/>
            <w:right w:val="none" w:sz="0" w:space="0"/>
          </w:pgBorders>
          <w:pgNumType w:fmt="numberInDash"/>
          <w:cols w:space="720" w:num="1"/>
          <w:rtlGutter w:val="0"/>
          <w:docGrid w:type="lines" w:linePitch="632" w:charSpace="0"/>
        </w:sectPr>
      </w:pPr>
      <w:r>
        <w:rPr>
          <w:rFonts w:hint="eastAsia" w:ascii="CESI黑体-GB2312" w:hAnsi="CESI黑体-GB2312" w:eastAsia="CESI黑体-GB2312" w:cs="CESI黑体-GB2312"/>
          <w:color w:val="auto"/>
          <w:sz w:val="32"/>
          <w:szCs w:val="32"/>
          <w:shd w:val="clear" w:color="auto" w:fill="FFFFFF"/>
          <w:lang w:val="en-US" w:eastAsia="zh-CN"/>
        </w:rPr>
        <w:t>六、</w:t>
      </w:r>
      <w:r>
        <w:rPr>
          <w:rFonts w:hint="default" w:ascii="CESI黑体-GB2312" w:hAnsi="CESI黑体-GB2312" w:eastAsia="CESI黑体-GB2312" w:cs="CESI黑体-GB2312"/>
          <w:color w:val="auto"/>
          <w:sz w:val="32"/>
          <w:szCs w:val="32"/>
          <w:shd w:val="clear" w:color="auto" w:fill="FFFFFF"/>
          <w:lang w:val="en-US" w:eastAsia="zh-CN"/>
        </w:rPr>
        <w:t>咨询方式。</w:t>
      </w:r>
      <w:r>
        <w:rPr>
          <w:rFonts w:hint="eastAsia" w:ascii="仿宋_GB2312" w:hAnsi="Courier New" w:eastAsia="仿宋_GB2312" w:cs="Courier New"/>
          <w:color w:val="auto"/>
          <w:sz w:val="32"/>
          <w:szCs w:val="32"/>
          <w:shd w:val="clear" w:color="auto" w:fill="FFFFFF"/>
          <w:lang w:val="en-US" w:eastAsia="zh-CN"/>
        </w:rPr>
        <w:t>屠宰与检疫管理科</w:t>
      </w:r>
      <w:r>
        <w:rPr>
          <w:rFonts w:hint="default" w:ascii="仿宋_GB2312" w:hAnsi="Courier New" w:eastAsia="仿宋_GB2312" w:cs="Courier New"/>
          <w:color w:val="auto"/>
          <w:sz w:val="32"/>
          <w:szCs w:val="32"/>
          <w:shd w:val="clear" w:color="auto" w:fill="FFFFFF"/>
          <w:lang w:val="en-US" w:eastAsia="zh-CN"/>
        </w:rPr>
        <w:t>88221</w:t>
      </w:r>
      <w:r>
        <w:rPr>
          <w:rFonts w:hint="eastAsia" w:ascii="仿宋_GB2312" w:hAnsi="Courier New" w:eastAsia="仿宋_GB2312" w:cs="Courier New"/>
          <w:color w:val="auto"/>
          <w:sz w:val="32"/>
          <w:szCs w:val="32"/>
          <w:shd w:val="clear" w:color="auto" w:fill="FFFFFF"/>
          <w:lang w:val="en-US" w:eastAsia="zh-CN"/>
        </w:rPr>
        <w:t>38</w:t>
      </w:r>
      <w:r>
        <w:rPr>
          <w:rFonts w:hint="eastAsia" w:ascii="仿宋_GB2312" w:eastAsia="仿宋_GB2312" w:cs="Courier New"/>
          <w:color w:val="auto"/>
          <w:sz w:val="32"/>
          <w:szCs w:val="32"/>
          <w:shd w:val="clear" w:color="auto" w:fill="FFFFFF"/>
          <w:lang w:val="en-US" w:eastAsia="zh-CN"/>
        </w:rPr>
        <w:t>3</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auto"/>
    <w:pitch w:val="default"/>
    <w:sig w:usb0="00000000" w:usb1="00000000" w:usb2="00000012" w:usb3="00000000" w:csb0="00040001" w:csb1="00000000"/>
  </w:font>
  <w:font w:name="CESI黑体-GB2312">
    <w:altName w:val="黑体"/>
    <w:panose1 w:val="02000500000000000000"/>
    <w:charset w:val="86"/>
    <w:family w:val="auto"/>
    <w:pitch w:val="default"/>
    <w:sig w:usb0="00000000" w:usb1="00000000" w:usb2="00000012"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27A562A"/>
    <w:rsid w:val="79AD2C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uiPriority w:val="0"/>
    <w:pPr>
      <w:spacing w:line="480" w:lineRule="auto"/>
      <w:ind w:left="420" w:leftChars="200"/>
    </w:pPr>
  </w:style>
  <w:style w:type="paragraph" w:styleId="3">
    <w:name w:val="Plain Text"/>
    <w:basedOn w:val="1"/>
    <w:qFormat/>
    <w:uiPriority w:val="0"/>
    <w:rPr>
      <w:rFonts w:ascii="宋体" w:hAnsi="Courier New"/>
      <w:szCs w:val="21"/>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7">
    <w:name w:val="报告正文"/>
    <w:basedOn w:val="1"/>
    <w:qFormat/>
    <w:uiPriority w:val="0"/>
    <w:pPr>
      <w:ind w:firstLine="640" w:firstLineChars="200"/>
    </w:pPr>
    <w:rPr>
      <w:rFonts w:ascii="Times New Roman" w:hAnsi="Times New Roman" w:eastAsia="仿宋"/>
      <w:sz w:val="32"/>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2023-09-01T03:42:00Z</dcterms:created>
  <dc:creator>Administrator</dc:creator>
  <cp:lastModifiedBy>詹俊巧</cp:lastModifiedBy>
  <dcterms:modified xsi:type="dcterms:W3CDTF">2023-09-05T03:53:54Z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7AFF79141B344ADB945F7BB771C0D0D0</vt:lpwstr>
  </property>
</Properties>
</file>