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华文中宋" w:cs="仿宋"/>
          <w:b/>
          <w:sz w:val="32"/>
          <w:szCs w:val="28"/>
          <w:lang w:eastAsia="zh-CN"/>
        </w:rPr>
      </w:pPr>
      <w:bookmarkStart w:id="0" w:name="_Toc6921_WPSOffice_Level1"/>
      <w:bookmarkStart w:id="1" w:name="_Toc10825"/>
      <w:bookmarkStart w:id="2" w:name="_Toc24440_WPSOffice_Level1"/>
      <w:bookmarkStart w:id="3" w:name="_Toc2281"/>
      <w:r>
        <w:rPr>
          <w:rFonts w:hint="eastAsia" w:ascii="华文中宋" w:hAnsi="华文中宋" w:eastAsia="华文中宋" w:cs="华文中宋"/>
          <w:b w:val="0"/>
          <w:bCs/>
          <w:sz w:val="44"/>
          <w:szCs w:val="44"/>
        </w:rPr>
        <w:t>2024-2026年中山市政策</w:t>
      </w:r>
      <w:bookmarkStart w:id="22" w:name="_GoBack"/>
      <w:bookmarkEnd w:id="22"/>
      <w:r>
        <w:rPr>
          <w:rFonts w:hint="eastAsia" w:ascii="华文中宋" w:hAnsi="华文中宋" w:eastAsia="华文中宋" w:cs="华文中宋"/>
          <w:b w:val="0"/>
          <w:bCs/>
          <w:sz w:val="44"/>
          <w:szCs w:val="44"/>
        </w:rPr>
        <w:t>性鱼</w:t>
      </w:r>
      <w:r>
        <w:rPr>
          <w:rFonts w:hint="eastAsia" w:ascii="华文中宋" w:hAnsi="华文中宋" w:eastAsia="华文中宋" w:cs="华文中宋"/>
          <w:b w:val="0"/>
          <w:bCs/>
          <w:sz w:val="44"/>
          <w:szCs w:val="44"/>
          <w:lang w:val="en"/>
        </w:rPr>
        <w:t>饲料价格指数保险</w:t>
      </w:r>
      <w:r>
        <w:rPr>
          <w:rFonts w:hint="eastAsia" w:ascii="华文中宋" w:hAnsi="华文中宋" w:eastAsia="华文中宋" w:cs="华文中宋"/>
          <w:b w:val="0"/>
          <w:bCs/>
          <w:sz w:val="44"/>
          <w:szCs w:val="44"/>
        </w:rPr>
        <w:t>实施方案</w:t>
      </w:r>
      <w:bookmarkEnd w:id="0"/>
      <w:bookmarkEnd w:id="1"/>
      <w:bookmarkEnd w:id="2"/>
      <w:bookmarkEnd w:id="3"/>
      <w:r>
        <w:rPr>
          <w:rFonts w:hint="eastAsia" w:ascii="华文中宋" w:hAnsi="华文中宋" w:eastAsia="华文中宋" w:cs="华文中宋"/>
          <w:b w:val="0"/>
          <w:bCs/>
          <w:sz w:val="44"/>
          <w:szCs w:val="44"/>
        </w:rPr>
        <w:t>（试行）</w:t>
      </w:r>
      <w:r>
        <w:rPr>
          <w:rFonts w:hint="eastAsia" w:ascii="华文中宋" w:hAnsi="华文中宋" w:eastAsia="华文中宋" w:cs="华文中宋"/>
          <w:b w:val="0"/>
          <w:bCs/>
          <w:sz w:val="44"/>
          <w:szCs w:val="44"/>
          <w:lang w:eastAsia="zh-CN"/>
        </w:rPr>
        <w:t>（征求意见稿）</w:t>
      </w:r>
    </w:p>
    <w:p>
      <w:pPr>
        <w:spacing w:line="700" w:lineRule="exact"/>
        <w:ind w:firstLine="0" w:firstLineChars="0"/>
        <w:rPr>
          <w:rFonts w:ascii="仿宋" w:hAnsi="仿宋" w:cs="仿宋"/>
        </w:rPr>
      </w:pPr>
    </w:p>
    <w:p>
      <w:pPr>
        <w:ind w:firstLine="640"/>
        <w:rPr>
          <w:rFonts w:ascii="仿宋" w:hAnsi="仿宋" w:cs="仿宋"/>
          <w:sz w:val="32"/>
          <w:szCs w:val="32"/>
        </w:rPr>
      </w:pPr>
      <w:r>
        <w:rPr>
          <w:rFonts w:hint="eastAsia" w:ascii="仿宋" w:hAnsi="仿宋" w:cs="仿宋"/>
          <w:sz w:val="32"/>
          <w:szCs w:val="32"/>
        </w:rPr>
        <w:t>为贯彻落实《广东省政策性农业保险实施方案（2024-2026年）》（粤财金〔2023〕35号）、《中山市农业保险险种实施目录（2024-2026年）》（中农农函〔2024〕14号）、《中山市大力推动农业保险高质量发展工作方案》（中财农资〔2021〕7号）等文件精神，持续推动农业保险“扩面、增品、提标”，推动我市农业保险高质量发展，促进我市水产养殖产业健康发展，结合我市实际，制定本实施方案。</w:t>
      </w:r>
    </w:p>
    <w:p>
      <w:pPr>
        <w:pStyle w:val="4"/>
        <w:spacing w:before="156" w:after="156"/>
        <w:ind w:firstLine="643"/>
      </w:pPr>
      <w:bookmarkStart w:id="4" w:name="_Toc1804_WPSOffice_Level1"/>
      <w:bookmarkStart w:id="5" w:name="_Toc31071_WPSOffice_Level1"/>
      <w:r>
        <w:rPr>
          <w:rFonts w:hint="eastAsia" w:ascii="黑体" w:hAnsi="黑体" w:eastAsia="黑体" w:cs="黑体"/>
          <w:b w:val="0"/>
          <w:bCs/>
        </w:rPr>
        <w:t>一、工作目标</w:t>
      </w:r>
      <w:bookmarkEnd w:id="4"/>
      <w:bookmarkEnd w:id="5"/>
    </w:p>
    <w:p>
      <w:pPr>
        <w:ind w:firstLine="640"/>
        <w:rPr>
          <w:rFonts w:ascii="仿宋" w:hAnsi="仿宋" w:cs="仿宋"/>
          <w:sz w:val="32"/>
          <w:szCs w:val="32"/>
        </w:rPr>
      </w:pPr>
      <w:r>
        <w:rPr>
          <w:rFonts w:hint="eastAsia" w:ascii="仿宋" w:hAnsi="仿宋" w:cs="仿宋"/>
          <w:sz w:val="32"/>
          <w:szCs w:val="32"/>
        </w:rPr>
        <w:t>以水产养殖经营主体为对象，</w:t>
      </w:r>
      <w:r>
        <w:rPr>
          <w:rFonts w:hint="eastAsia" w:ascii="仿宋_GB2312" w:hAnsi="仿宋_GB2312" w:eastAsia="仿宋_GB2312" w:cs="仿宋_GB2312"/>
          <w:sz w:val="32"/>
          <w:szCs w:val="32"/>
        </w:rPr>
        <w:t>鱼饲料</w:t>
      </w:r>
      <w:r>
        <w:rPr>
          <w:rFonts w:hint="eastAsia" w:ascii="仿宋" w:hAnsi="仿宋" w:cs="仿宋"/>
          <w:sz w:val="32"/>
          <w:szCs w:val="32"/>
        </w:rPr>
        <w:t>中的主要原料玉米、豆粕及菜粕为标的，在保险的基础上创新地加了一道“期货功能”进行对冲风险，提高水产养殖业的抗风险能力，实现投保农户将饲料价格波动风险转移至资本市场，确保经营稳定，提高经营效益。</w:t>
      </w:r>
    </w:p>
    <w:p>
      <w:pPr>
        <w:pStyle w:val="4"/>
        <w:spacing w:before="156" w:after="156"/>
        <w:ind w:firstLine="643"/>
      </w:pPr>
      <w:bookmarkStart w:id="6" w:name="_Toc18203_WPSOffice_Level1"/>
      <w:bookmarkStart w:id="7" w:name="_Toc1098_WPSOffice_Level1"/>
      <w:r>
        <w:rPr>
          <w:rFonts w:hint="eastAsia" w:ascii="黑体" w:hAnsi="黑体" w:eastAsia="黑体" w:cs="黑体"/>
          <w:b w:val="0"/>
          <w:bCs/>
        </w:rPr>
        <w:t>二、基本原则</w:t>
      </w:r>
      <w:bookmarkEnd w:id="6"/>
      <w:bookmarkEnd w:id="7"/>
    </w:p>
    <w:p>
      <w:pPr>
        <w:ind w:firstLine="640"/>
        <w:jc w:val="left"/>
        <w:rPr>
          <w:rFonts w:ascii="仿宋" w:hAnsi="仿宋" w:cs="仿宋"/>
          <w:sz w:val="32"/>
          <w:szCs w:val="32"/>
        </w:rPr>
      </w:pPr>
      <w:r>
        <w:rPr>
          <w:rFonts w:hint="eastAsia" w:ascii="仿宋" w:hAnsi="仿宋" w:cs="仿宋"/>
          <w:sz w:val="32"/>
          <w:szCs w:val="32"/>
        </w:rPr>
        <w:t>(一)政府引导。政府加强对政策性农业保险工作的领导，更好发挥政府引导和推动作用，积极宣传推广，引导水产养殖经营主体参保，落实配套财政补贴资金，加强理赔监管服务，规范市场秩序，为</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发展营造良好环境。</w:t>
      </w:r>
    </w:p>
    <w:p>
      <w:pPr>
        <w:ind w:firstLine="640"/>
        <w:jc w:val="left"/>
        <w:rPr>
          <w:rFonts w:ascii="仿宋" w:hAnsi="仿宋" w:cs="仿宋"/>
          <w:sz w:val="32"/>
          <w:szCs w:val="32"/>
        </w:rPr>
      </w:pPr>
      <w:r>
        <w:rPr>
          <w:rFonts w:hint="eastAsia" w:ascii="仿宋" w:hAnsi="仿宋" w:cs="仿宋"/>
          <w:sz w:val="32"/>
          <w:szCs w:val="32"/>
        </w:rPr>
        <w:t>(二)市场运作。充分发挥市场配置资源的决定性作用，坚持以需求为导向，强化创新引领，发挥好保险机构在农业保险经营中的自主性和创造性。</w:t>
      </w:r>
    </w:p>
    <w:p>
      <w:pPr>
        <w:ind w:firstLine="640"/>
        <w:jc w:val="left"/>
        <w:rPr>
          <w:rFonts w:ascii="仿宋" w:hAnsi="仿宋" w:cs="仿宋"/>
          <w:sz w:val="32"/>
          <w:szCs w:val="32"/>
        </w:rPr>
      </w:pPr>
      <w:r>
        <w:rPr>
          <w:rFonts w:hint="eastAsia" w:ascii="仿宋" w:hAnsi="仿宋" w:cs="仿宋"/>
          <w:sz w:val="32"/>
          <w:szCs w:val="32"/>
        </w:rPr>
        <w:t>(三)自主自愿。充分尊重水产养殖经营主体意愿，不得强迫、限制其参加保险。</w:t>
      </w:r>
    </w:p>
    <w:p>
      <w:pPr>
        <w:ind w:firstLine="640"/>
        <w:jc w:val="left"/>
        <w:rPr>
          <w:rFonts w:ascii="仿宋" w:hAnsi="仿宋" w:cs="仿宋"/>
          <w:b/>
          <w:bCs/>
          <w:sz w:val="32"/>
          <w:szCs w:val="32"/>
        </w:rPr>
      </w:pPr>
      <w:r>
        <w:rPr>
          <w:rFonts w:hint="eastAsia" w:ascii="仿宋" w:hAnsi="仿宋" w:cs="仿宋"/>
          <w:sz w:val="32"/>
          <w:szCs w:val="32"/>
        </w:rPr>
        <w:t>(四)协同推进。加强协调配合，充分发挥</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经济补偿和风险管理功能，注重融入农村社会治理，共同推进工作。</w:t>
      </w:r>
    </w:p>
    <w:p>
      <w:pPr>
        <w:pStyle w:val="4"/>
        <w:spacing w:before="156" w:after="156"/>
        <w:ind w:firstLine="643"/>
      </w:pPr>
      <w:bookmarkStart w:id="8" w:name="_Toc22708_WPSOffice_Level1"/>
      <w:bookmarkStart w:id="9" w:name="_Toc22137_WPSOffice_Level1"/>
      <w:r>
        <w:rPr>
          <w:rFonts w:hint="eastAsia" w:ascii="黑体" w:hAnsi="黑体" w:eastAsia="黑体" w:cs="黑体"/>
          <w:b w:val="0"/>
          <w:bCs/>
        </w:rPr>
        <w:t>三、实施范围</w:t>
      </w:r>
    </w:p>
    <w:p>
      <w:pPr>
        <w:ind w:firstLine="640"/>
        <w:rPr>
          <w:rFonts w:ascii="仿宋" w:hAnsi="仿宋" w:cs="仿宋"/>
          <w:sz w:val="32"/>
          <w:szCs w:val="32"/>
        </w:rPr>
      </w:pPr>
      <w:r>
        <w:rPr>
          <w:rFonts w:hint="eastAsia" w:ascii="仿宋" w:hAnsi="仿宋" w:cs="仿宋"/>
          <w:sz w:val="32"/>
          <w:szCs w:val="32"/>
        </w:rPr>
        <w:t>中山市行政区域内。</w:t>
      </w:r>
    </w:p>
    <w:p>
      <w:pPr>
        <w:pStyle w:val="4"/>
        <w:spacing w:before="156" w:after="156"/>
        <w:ind w:firstLine="643"/>
      </w:pPr>
      <w:r>
        <w:rPr>
          <w:rFonts w:hint="eastAsia" w:ascii="黑体" w:hAnsi="黑体" w:eastAsia="黑体" w:cs="黑体"/>
          <w:b w:val="0"/>
          <w:bCs/>
        </w:rPr>
        <w:t>四、实施期限</w:t>
      </w:r>
      <w:bookmarkEnd w:id="8"/>
      <w:bookmarkEnd w:id="9"/>
    </w:p>
    <w:p>
      <w:pPr>
        <w:ind w:firstLine="640"/>
        <w:rPr>
          <w:rFonts w:ascii="仿宋" w:hAnsi="仿宋" w:cs="仿宋"/>
          <w:sz w:val="32"/>
          <w:szCs w:val="32"/>
        </w:rPr>
      </w:pPr>
      <w:r>
        <w:rPr>
          <w:rFonts w:hint="eastAsia" w:ascii="仿宋" w:hAnsi="仿宋" w:cs="仿宋"/>
          <w:sz w:val="32"/>
          <w:szCs w:val="32"/>
        </w:rPr>
        <w:t>本方案实施期为自方案发布之日至2026年12月31日止。</w:t>
      </w:r>
    </w:p>
    <w:p>
      <w:pPr>
        <w:pStyle w:val="4"/>
        <w:spacing w:before="156" w:after="156"/>
        <w:ind w:firstLine="643"/>
      </w:pPr>
      <w:bookmarkStart w:id="10" w:name="_Toc1834_WPSOffice_Level1"/>
      <w:bookmarkStart w:id="11" w:name="_Toc7660_WPSOffice_Level1"/>
      <w:r>
        <w:rPr>
          <w:rFonts w:hint="eastAsia" w:ascii="黑体" w:hAnsi="黑体" w:eastAsia="黑体" w:cs="黑体"/>
          <w:b w:val="0"/>
          <w:bCs/>
        </w:rPr>
        <w:t>五、具体内容</w:t>
      </w:r>
      <w:bookmarkEnd w:id="10"/>
      <w:bookmarkEnd w:id="11"/>
    </w:p>
    <w:p>
      <w:pPr>
        <w:ind w:firstLine="640"/>
        <w:rPr>
          <w:rFonts w:ascii="仿宋" w:hAnsi="仿宋" w:cs="仿宋"/>
          <w:sz w:val="32"/>
          <w:szCs w:val="32"/>
        </w:rPr>
      </w:pPr>
      <w:r>
        <w:rPr>
          <w:rFonts w:hint="eastAsia" w:ascii="楷体" w:hAnsi="楷体" w:eastAsia="楷体" w:cs="楷体"/>
          <w:sz w:val="32"/>
          <w:szCs w:val="32"/>
        </w:rPr>
        <w:t>（一）投保条件</w:t>
      </w:r>
    </w:p>
    <w:p>
      <w:pPr>
        <w:ind w:firstLine="640"/>
        <w:rPr>
          <w:rFonts w:ascii="仿宋" w:hAnsi="仿宋" w:cs="仿宋"/>
          <w:sz w:val="32"/>
          <w:szCs w:val="32"/>
        </w:rPr>
      </w:pPr>
      <w:r>
        <w:rPr>
          <w:rFonts w:hint="eastAsia" w:ascii="仿宋" w:hAnsi="仿宋" w:cs="仿宋"/>
          <w:sz w:val="32"/>
          <w:szCs w:val="32"/>
        </w:rPr>
        <w:t>参与</w:t>
      </w:r>
      <w:r>
        <w:rPr>
          <w:rFonts w:hint="eastAsia" w:ascii="仿宋_GB2312" w:hAnsi="仿宋_GB2312" w:eastAsia="仿宋_GB2312" w:cs="仿宋_GB2312"/>
          <w:sz w:val="32"/>
          <w:szCs w:val="32"/>
          <w:lang w:eastAsia="zh-CN"/>
        </w:rPr>
        <w:t>鱼饲料价格</w:t>
      </w:r>
      <w:r>
        <w:rPr>
          <w:rFonts w:hint="eastAsia" w:ascii="仿宋_GB2312" w:hAnsi="仿宋_GB2312" w:eastAsia="仿宋_GB2312" w:cs="仿宋_GB2312"/>
          <w:sz w:val="32"/>
          <w:szCs w:val="32"/>
        </w:rPr>
        <w:t>指数保险</w:t>
      </w:r>
      <w:r>
        <w:rPr>
          <w:rFonts w:hint="eastAsia" w:ascii="仿宋" w:hAnsi="仿宋" w:cs="仿宋"/>
          <w:sz w:val="32"/>
          <w:szCs w:val="32"/>
        </w:rPr>
        <w:t>工作的</w:t>
      </w:r>
      <w:r>
        <w:rPr>
          <w:rFonts w:hint="eastAsia" w:ascii="仿宋_GB2312" w:hAnsi="仿宋_GB2312" w:eastAsia="仿宋_GB2312" w:cs="仿宋_GB2312"/>
          <w:sz w:val="32"/>
          <w:szCs w:val="32"/>
        </w:rPr>
        <w:t>农户、合作社、养殖企业等生产经营主体</w:t>
      </w:r>
      <w:r>
        <w:rPr>
          <w:rFonts w:hint="eastAsia" w:ascii="仿宋" w:hAnsi="仿宋" w:cs="仿宋"/>
          <w:sz w:val="32"/>
          <w:szCs w:val="32"/>
        </w:rPr>
        <w:t>，应符合以下条件：</w:t>
      </w:r>
    </w:p>
    <w:p>
      <w:pPr>
        <w:ind w:firstLine="640"/>
        <w:rPr>
          <w:rFonts w:ascii="仿宋" w:hAnsi="仿宋" w:cs="仿宋"/>
          <w:sz w:val="32"/>
          <w:szCs w:val="32"/>
        </w:rPr>
      </w:pPr>
      <w:r>
        <w:rPr>
          <w:rFonts w:hint="eastAsia" w:ascii="仿宋" w:hAnsi="仿宋" w:cs="仿宋"/>
          <w:sz w:val="32"/>
          <w:szCs w:val="32"/>
        </w:rPr>
        <w:t>1.</w:t>
      </w:r>
      <w:r>
        <w:rPr>
          <w:rFonts w:hint="eastAsia" w:ascii="仿宋_GB2312" w:hAnsi="仿宋_GB2312" w:eastAsia="仿宋_GB2312" w:cs="仿宋_GB2312"/>
          <w:sz w:val="32"/>
          <w:szCs w:val="32"/>
        </w:rPr>
        <w:t>符合当地养殖规划要求，养殖场地及设施符合卫生防疫规范</w:t>
      </w:r>
      <w:r>
        <w:rPr>
          <w:rFonts w:hint="eastAsia" w:ascii="仿宋" w:hAnsi="仿宋" w:cs="仿宋"/>
          <w:sz w:val="32"/>
          <w:szCs w:val="32"/>
        </w:rPr>
        <w:t>；</w:t>
      </w:r>
    </w:p>
    <w:p>
      <w:pPr>
        <w:ind w:firstLine="640"/>
        <w:rPr>
          <w:rFonts w:ascii="仿宋" w:hAnsi="仿宋" w:cs="仿宋"/>
          <w:sz w:val="32"/>
          <w:szCs w:val="32"/>
        </w:rPr>
      </w:pPr>
      <w:r>
        <w:rPr>
          <w:rFonts w:hint="eastAsia" w:ascii="仿宋" w:hAnsi="仿宋" w:cs="仿宋"/>
          <w:sz w:val="32"/>
          <w:szCs w:val="32"/>
        </w:rPr>
        <w:t>2.</w:t>
      </w:r>
      <w:r>
        <w:rPr>
          <w:rFonts w:hint="eastAsia" w:ascii="仿宋_GB2312" w:hAnsi="仿宋_GB2312" w:eastAsia="仿宋_GB2312" w:cs="仿宋_GB2312"/>
          <w:sz w:val="32"/>
          <w:szCs w:val="32"/>
        </w:rPr>
        <w:t>鱼饲料成分中</w:t>
      </w:r>
      <w:r>
        <w:rPr>
          <w:rFonts w:hint="eastAsia" w:ascii="仿宋" w:hAnsi="仿宋" w:cs="仿宋"/>
          <w:sz w:val="32"/>
          <w:szCs w:val="32"/>
        </w:rPr>
        <w:t>必须含有玉米、豆粕及菜粕中的一种或多种。</w:t>
      </w:r>
    </w:p>
    <w:p>
      <w:pPr>
        <w:spacing w:before="156" w:beforeLines="50"/>
        <w:ind w:firstLine="640"/>
        <w:rPr>
          <w:rFonts w:ascii="仿宋" w:hAnsi="仿宋" w:cs="仿宋"/>
          <w:sz w:val="32"/>
          <w:szCs w:val="32"/>
        </w:rPr>
      </w:pPr>
      <w:r>
        <w:rPr>
          <w:rFonts w:hint="eastAsia" w:ascii="楷体" w:hAnsi="楷体" w:eastAsia="楷体" w:cs="楷体"/>
          <w:sz w:val="32"/>
          <w:szCs w:val="32"/>
        </w:rPr>
        <w:t>（二）保险期间、理赔采价期间和保险责任</w:t>
      </w:r>
    </w:p>
    <w:p>
      <w:pPr>
        <w:ind w:firstLine="640"/>
        <w:rPr>
          <w:rFonts w:ascii="仿宋" w:hAnsi="仿宋" w:cs="仿宋"/>
          <w:sz w:val="32"/>
          <w:szCs w:val="32"/>
        </w:rPr>
      </w:pPr>
      <w:r>
        <w:rPr>
          <w:rFonts w:hint="eastAsia" w:ascii="仿宋" w:hAnsi="仿宋" w:cs="仿宋"/>
          <w:sz w:val="32"/>
          <w:szCs w:val="32"/>
        </w:rPr>
        <w:t>1.保险期间与理赔采价期间：</w:t>
      </w:r>
    </w:p>
    <w:p>
      <w:pPr>
        <w:ind w:firstLine="640"/>
        <w:rPr>
          <w:rFonts w:ascii="仿宋" w:hAnsi="仿宋" w:cs="仿宋"/>
          <w:sz w:val="32"/>
          <w:szCs w:val="32"/>
        </w:rPr>
      </w:pPr>
      <w:r>
        <w:rPr>
          <w:rFonts w:hint="eastAsia" w:ascii="仿宋" w:hAnsi="仿宋" w:cs="仿宋"/>
          <w:sz w:val="32"/>
          <w:szCs w:val="32"/>
        </w:rPr>
        <w:t>本方案的保险期间由投保人与保险人协商确定，具体以保险单载明的起讫时间为准。</w:t>
      </w:r>
    </w:p>
    <w:p>
      <w:pPr>
        <w:ind w:firstLine="640"/>
        <w:rPr>
          <w:rFonts w:ascii="仿宋" w:hAnsi="仿宋" w:cs="仿宋"/>
          <w:sz w:val="32"/>
          <w:szCs w:val="32"/>
        </w:rPr>
      </w:pPr>
      <w:r>
        <w:rPr>
          <w:rFonts w:hint="eastAsia" w:ascii="仿宋" w:hAnsi="仿宋" w:cs="仿宋"/>
          <w:sz w:val="32"/>
          <w:szCs w:val="32"/>
        </w:rPr>
        <w:t>除另有约定外，理赔采价期间为保险期间结束前的一段时间，主要用于计算保险玉米、保险豆粕及保险菜粕的理赔结算价，具体由投保人与保险人协商确定。</w:t>
      </w:r>
    </w:p>
    <w:p>
      <w:pPr>
        <w:ind w:firstLine="640"/>
        <w:rPr>
          <w:rFonts w:ascii="仿宋" w:hAnsi="仿宋" w:cs="仿宋"/>
          <w:sz w:val="32"/>
          <w:szCs w:val="32"/>
        </w:rPr>
      </w:pPr>
      <w:r>
        <w:rPr>
          <w:rFonts w:hint="eastAsia" w:ascii="仿宋" w:hAnsi="仿宋" w:cs="仿宋"/>
          <w:sz w:val="32"/>
          <w:szCs w:val="32"/>
        </w:rPr>
        <w:t>2.保险责任：</w:t>
      </w:r>
    </w:p>
    <w:p>
      <w:pPr>
        <w:ind w:firstLine="640"/>
        <w:rPr>
          <w:rFonts w:ascii="仿宋" w:hAnsi="仿宋" w:cs="仿宋"/>
          <w:sz w:val="32"/>
          <w:szCs w:val="32"/>
        </w:rPr>
      </w:pPr>
      <w:r>
        <w:rPr>
          <w:rFonts w:hint="eastAsia" w:ascii="仿宋" w:hAnsi="仿宋" w:cs="仿宋"/>
          <w:sz w:val="32"/>
          <w:szCs w:val="32"/>
        </w:rPr>
        <w:t>在保险期间内，当约定月份的玉米、豆粕及菜粕期货合约在理赔采价期间内的理赔结算价高于保险玉米、保险豆粕及保险菜粕的保险价格时，视为保险事故发生，保险人按本方案的约定负责赔偿。</w:t>
      </w:r>
    </w:p>
    <w:p>
      <w:pPr>
        <w:ind w:firstLine="640"/>
        <w:rPr>
          <w:rFonts w:ascii="仿宋" w:hAnsi="仿宋" w:cs="仿宋"/>
          <w:sz w:val="32"/>
          <w:szCs w:val="32"/>
        </w:rPr>
      </w:pPr>
      <w:r>
        <w:rPr>
          <w:rFonts w:hint="eastAsia" w:ascii="仿宋" w:hAnsi="仿宋" w:cs="仿宋"/>
          <w:sz w:val="32"/>
          <w:szCs w:val="32"/>
        </w:rPr>
        <w:t>保险玉米、保险豆粕及保险菜粕的理赔结算价为约定月份玉米、豆粕及菜粕期货主力合约在理赔采价期间内各交易日实际价格的算术平均值（单位：元/吨，取整数）。除另有约定外，各交易日的实际价格按照当日收盘价确定。</w:t>
      </w:r>
    </w:p>
    <w:p>
      <w:pPr>
        <w:ind w:firstLine="640"/>
        <w:rPr>
          <w:rFonts w:ascii="仿宋" w:hAnsi="仿宋" w:cs="仿宋"/>
          <w:sz w:val="32"/>
          <w:szCs w:val="32"/>
        </w:rPr>
      </w:pPr>
      <w:r>
        <w:rPr>
          <w:rFonts w:hint="eastAsia" w:ascii="仿宋" w:hAnsi="仿宋" w:cs="仿宋"/>
          <w:sz w:val="32"/>
          <w:szCs w:val="32"/>
        </w:rPr>
        <w:t>理赔结算价=理赔期间内各交易日实际价格之和/交易日天数</w:t>
      </w:r>
    </w:p>
    <w:p>
      <w:pPr>
        <w:ind w:firstLine="640"/>
        <w:rPr>
          <w:rFonts w:ascii="仿宋" w:hAnsi="仿宋" w:cs="仿宋"/>
          <w:sz w:val="32"/>
          <w:szCs w:val="32"/>
        </w:rPr>
      </w:pPr>
      <w:r>
        <w:rPr>
          <w:rFonts w:hint="eastAsia" w:ascii="仿宋" w:hAnsi="仿宋" w:cs="仿宋"/>
          <w:sz w:val="32"/>
          <w:szCs w:val="32"/>
        </w:rPr>
        <w:t>本方案所涉及的玉米、豆粕各交易日收盘价均以大连商品交易所官方网站发布的数据为准，菜粕各交易日收盘价均以郑州商品交易所发布的数据为准。</w:t>
      </w:r>
    </w:p>
    <w:p>
      <w:pPr>
        <w:spacing w:before="156" w:beforeLines="50"/>
        <w:ind w:firstLine="640"/>
        <w:rPr>
          <w:rFonts w:ascii="仿宋" w:hAnsi="仿宋" w:cs="仿宋"/>
          <w:sz w:val="32"/>
          <w:szCs w:val="32"/>
        </w:rPr>
      </w:pPr>
      <w:r>
        <w:rPr>
          <w:rFonts w:hint="eastAsia" w:ascii="楷体" w:hAnsi="楷体" w:eastAsia="楷体" w:cs="楷体"/>
          <w:sz w:val="32"/>
          <w:szCs w:val="32"/>
        </w:rPr>
        <w:t>（三）保险金额、保险数量和保险价格</w:t>
      </w:r>
    </w:p>
    <w:p>
      <w:pPr>
        <w:ind w:firstLine="640"/>
        <w:jc w:val="left"/>
        <w:rPr>
          <w:rFonts w:ascii="仿宋" w:hAnsi="仿宋" w:cs="仿宋"/>
          <w:sz w:val="32"/>
          <w:szCs w:val="32"/>
        </w:rPr>
      </w:pPr>
      <w:r>
        <w:rPr>
          <w:rFonts w:hint="eastAsia" w:ascii="仿宋" w:hAnsi="仿宋" w:cs="仿宋"/>
          <w:sz w:val="32"/>
          <w:szCs w:val="32"/>
        </w:rPr>
        <w:t>1.保险金额：</w:t>
      </w:r>
    </w:p>
    <w:p>
      <w:pPr>
        <w:ind w:firstLine="640"/>
        <w:jc w:val="left"/>
        <w:rPr>
          <w:rFonts w:ascii="仿宋" w:hAnsi="仿宋" w:cs="仿宋"/>
          <w:sz w:val="32"/>
          <w:szCs w:val="32"/>
        </w:rPr>
      </w:pPr>
      <w:r>
        <w:rPr>
          <w:rFonts w:hint="eastAsia" w:ascii="仿宋" w:hAnsi="仿宋" w:cs="仿宋"/>
          <w:sz w:val="32"/>
          <w:szCs w:val="32"/>
        </w:rPr>
        <w:t>本方案的保险金额按照下列方式确定保险金额：</w:t>
      </w:r>
    </w:p>
    <w:p>
      <w:pPr>
        <w:ind w:firstLine="640"/>
        <w:jc w:val="left"/>
        <w:rPr>
          <w:rFonts w:ascii="仿宋" w:hAnsi="仿宋" w:cs="仿宋"/>
          <w:sz w:val="32"/>
          <w:szCs w:val="32"/>
        </w:rPr>
      </w:pPr>
      <w:r>
        <w:rPr>
          <w:rFonts w:hint="eastAsia" w:ascii="仿宋" w:hAnsi="仿宋" w:cs="仿宋"/>
          <w:sz w:val="32"/>
          <w:szCs w:val="32"/>
        </w:rPr>
        <w:t>玉米保险金额=玉米保险价格（元/吨）×玉米保险数量（吨）</w:t>
      </w:r>
    </w:p>
    <w:p>
      <w:pPr>
        <w:ind w:firstLine="640"/>
        <w:jc w:val="left"/>
        <w:rPr>
          <w:rFonts w:ascii="仿宋" w:hAnsi="仿宋" w:cs="仿宋"/>
          <w:sz w:val="32"/>
          <w:szCs w:val="32"/>
        </w:rPr>
      </w:pPr>
      <w:r>
        <w:rPr>
          <w:rFonts w:hint="eastAsia" w:ascii="仿宋" w:hAnsi="仿宋" w:cs="仿宋"/>
          <w:sz w:val="32"/>
          <w:szCs w:val="32"/>
        </w:rPr>
        <w:t>豆粕保险金额=豆粕保险价格（元/吨）×豆粕保险数量（吨）</w:t>
      </w:r>
    </w:p>
    <w:p>
      <w:pPr>
        <w:pStyle w:val="5"/>
        <w:ind w:firstLine="640"/>
        <w:rPr>
          <w:b w:val="0"/>
          <w:bCs w:val="0"/>
        </w:rPr>
      </w:pPr>
      <w:r>
        <w:rPr>
          <w:rFonts w:hint="eastAsia" w:ascii="仿宋" w:hAnsi="仿宋" w:eastAsia="仿宋" w:cs="仿宋"/>
          <w:b w:val="0"/>
          <w:bCs w:val="0"/>
          <w:sz w:val="32"/>
        </w:rPr>
        <w:t>菜粕保险金额=菜粕保险价格（元/吨）×菜粕保险数量（吨）</w:t>
      </w:r>
    </w:p>
    <w:p>
      <w:pPr>
        <w:ind w:firstLine="640"/>
        <w:rPr>
          <w:rFonts w:ascii="仿宋" w:hAnsi="仿宋" w:cs="仿宋"/>
        </w:rPr>
      </w:pPr>
      <w:r>
        <w:rPr>
          <w:rFonts w:hint="eastAsia" w:ascii="仿宋" w:hAnsi="仿宋" w:cs="仿宋"/>
          <w:sz w:val="32"/>
          <w:szCs w:val="32"/>
        </w:rPr>
        <w:t>2.保险数量</w:t>
      </w:r>
      <w:r>
        <w:rPr>
          <w:rFonts w:hint="eastAsia" w:ascii="仿宋" w:hAnsi="仿宋" w:cs="仿宋"/>
        </w:rPr>
        <w:t>：</w:t>
      </w:r>
    </w:p>
    <w:p>
      <w:pPr>
        <w:ind w:firstLine="640"/>
        <w:rPr>
          <w:rFonts w:ascii="仿宋" w:hAnsi="仿宋" w:cs="仿宋"/>
          <w:sz w:val="32"/>
          <w:szCs w:val="32"/>
        </w:rPr>
      </w:pPr>
      <w:r>
        <w:rPr>
          <w:rFonts w:hint="eastAsia" w:ascii="仿宋" w:hAnsi="仿宋" w:cs="仿宋"/>
          <w:sz w:val="32"/>
          <w:szCs w:val="32"/>
        </w:rPr>
        <w:t>保险玉米、保险豆粕及保险菜粕的保险数量，根据被保险人保险期间内消耗的饲料玉米、豆粕及菜粕数量确定，具体金额由投保人与保险人协商确定，以保险单中载明为准。</w:t>
      </w:r>
    </w:p>
    <w:p>
      <w:pPr>
        <w:ind w:firstLine="640"/>
        <w:rPr>
          <w:rFonts w:ascii="仿宋" w:hAnsi="仿宋" w:cs="仿宋"/>
        </w:rPr>
      </w:pPr>
      <w:r>
        <w:rPr>
          <w:rFonts w:hint="eastAsia" w:ascii="仿宋" w:hAnsi="仿宋" w:cs="仿宋"/>
          <w:sz w:val="32"/>
          <w:szCs w:val="32"/>
        </w:rPr>
        <w:t>3.保</w:t>
      </w:r>
      <w:r>
        <w:rPr>
          <w:rFonts w:hint="eastAsia" w:ascii="仿宋" w:hAnsi="仿宋" w:cs="仿宋"/>
        </w:rPr>
        <w:t>险价格：</w:t>
      </w:r>
    </w:p>
    <w:p>
      <w:pPr>
        <w:ind w:firstLine="640"/>
        <w:rPr>
          <w:rFonts w:ascii="仿宋" w:hAnsi="仿宋" w:cs="仿宋"/>
          <w:sz w:val="32"/>
          <w:szCs w:val="32"/>
        </w:rPr>
      </w:pPr>
      <w:r>
        <w:rPr>
          <w:rFonts w:hint="eastAsia" w:ascii="仿宋" w:hAnsi="仿宋" w:cs="仿宋"/>
          <w:sz w:val="32"/>
          <w:szCs w:val="32"/>
        </w:rPr>
        <w:t>除另有约定外，玉米、豆粕及菜粕的保险价格基于大连商品交易所玉米、豆粕及菜粕期货主力合约，参照以下任一方式确定，具体金额由保险人与被保险人协商确定。</w:t>
      </w:r>
    </w:p>
    <w:p>
      <w:pPr>
        <w:ind w:firstLine="640"/>
        <w:rPr>
          <w:rFonts w:ascii="仿宋" w:hAnsi="仿宋" w:cs="仿宋"/>
          <w:sz w:val="32"/>
          <w:szCs w:val="32"/>
        </w:rPr>
      </w:pPr>
      <w:r>
        <w:rPr>
          <w:rFonts w:hint="eastAsia" w:ascii="仿宋" w:hAnsi="仿宋" w:cs="仿宋"/>
          <w:sz w:val="32"/>
          <w:szCs w:val="32"/>
        </w:rPr>
        <w:t>（1）根据</w:t>
      </w:r>
      <w:r>
        <w:rPr>
          <w:rFonts w:hint="eastAsia" w:ascii="仿宋_GB2312" w:hAnsi="仿宋_GB2312" w:eastAsia="仿宋_GB2312" w:cs="仿宋_GB2312"/>
          <w:sz w:val="32"/>
          <w:szCs w:val="32"/>
        </w:rPr>
        <w:t>养殖鱼的饲料成本价格</w:t>
      </w:r>
      <w:r>
        <w:rPr>
          <w:rFonts w:hint="eastAsia" w:ascii="仿宋" w:hAnsi="仿宋" w:cs="仿宋"/>
          <w:sz w:val="32"/>
          <w:szCs w:val="32"/>
        </w:rPr>
        <w:t>（或成本价格+合理收益的一定比例）</w:t>
      </w:r>
      <w:r>
        <w:rPr>
          <w:rFonts w:hint="eastAsia" w:ascii="仿宋_GB2312" w:hAnsi="仿宋_GB2312" w:eastAsia="仿宋_GB2312" w:cs="仿宋_GB2312"/>
          <w:sz w:val="32"/>
          <w:szCs w:val="32"/>
        </w:rPr>
        <w:t>或约定合约走势平值价格确定</w:t>
      </w:r>
      <w:r>
        <w:rPr>
          <w:rFonts w:hint="eastAsia" w:ascii="仿宋" w:hAnsi="仿宋" w:cs="仿宋"/>
          <w:sz w:val="32"/>
          <w:szCs w:val="32"/>
        </w:rPr>
        <w:t>；</w:t>
      </w:r>
    </w:p>
    <w:p>
      <w:pPr>
        <w:ind w:firstLine="640"/>
        <w:rPr>
          <w:rFonts w:ascii="仿宋" w:hAnsi="仿宋" w:cs="仿宋"/>
          <w:sz w:val="32"/>
          <w:szCs w:val="32"/>
        </w:rPr>
      </w:pPr>
      <w:r>
        <w:rPr>
          <w:rFonts w:hint="eastAsia" w:ascii="仿宋" w:hAnsi="仿宋" w:cs="仿宋"/>
          <w:sz w:val="32"/>
          <w:szCs w:val="32"/>
        </w:rPr>
        <w:t>（2）约定期货合约在投保日前一天或当天的收盘价（或收盘价的一定比例或收盘价上下浮动一定金额）；</w:t>
      </w:r>
    </w:p>
    <w:p>
      <w:pPr>
        <w:ind w:firstLine="640"/>
        <w:rPr>
          <w:rFonts w:ascii="仿宋" w:hAnsi="仿宋" w:cs="仿宋"/>
          <w:sz w:val="32"/>
          <w:szCs w:val="32"/>
        </w:rPr>
      </w:pPr>
      <w:r>
        <w:rPr>
          <w:rFonts w:hint="eastAsia" w:ascii="仿宋" w:hAnsi="仿宋" w:cs="仿宋"/>
          <w:sz w:val="32"/>
          <w:szCs w:val="32"/>
        </w:rPr>
        <w:t>（3）约定期货合约在投保日期前一段时间内的日均收盘价（或日均收盘价的一定比例或日均收盘价上下浮动一定金额）。</w:t>
      </w:r>
    </w:p>
    <w:p>
      <w:pPr>
        <w:spacing w:before="156" w:beforeLines="50"/>
        <w:ind w:firstLine="640"/>
        <w:rPr>
          <w:rFonts w:ascii="仿宋" w:hAnsi="仿宋" w:cs="仿宋"/>
          <w:sz w:val="32"/>
          <w:szCs w:val="32"/>
        </w:rPr>
      </w:pPr>
      <w:r>
        <w:rPr>
          <w:rFonts w:hint="eastAsia" w:ascii="楷体" w:hAnsi="楷体" w:eastAsia="楷体" w:cs="楷体"/>
          <w:sz w:val="32"/>
          <w:szCs w:val="32"/>
        </w:rPr>
        <w:t>（四）费率及保险费</w:t>
      </w:r>
    </w:p>
    <w:p>
      <w:pPr>
        <w:ind w:firstLine="640"/>
        <w:rPr>
          <w:rFonts w:ascii="仿宋" w:hAnsi="仿宋" w:cs="仿宋"/>
          <w:sz w:val="32"/>
          <w:szCs w:val="32"/>
        </w:rPr>
      </w:pPr>
      <w:r>
        <w:rPr>
          <w:rFonts w:hint="eastAsia" w:ascii="仿宋" w:hAnsi="仿宋" w:cs="仿宋"/>
          <w:sz w:val="32"/>
          <w:szCs w:val="32"/>
        </w:rPr>
        <w:t>1.基准费率：</w:t>
      </w:r>
    </w:p>
    <w:p>
      <w:pPr>
        <w:ind w:firstLine="640"/>
        <w:rPr>
          <w:rFonts w:ascii="仿宋" w:hAnsi="仿宋" w:cs="仿宋"/>
          <w:sz w:val="32"/>
          <w:szCs w:val="32"/>
        </w:rPr>
      </w:pPr>
      <w:r>
        <w:rPr>
          <w:rFonts w:hint="eastAsia" w:ascii="仿宋" w:hAnsi="仿宋" w:cs="仿宋"/>
          <w:sz w:val="32"/>
          <w:szCs w:val="32"/>
        </w:rPr>
        <w:t>玉米：2%，豆粕：3%，菜粕：3%。</w:t>
      </w:r>
    </w:p>
    <w:p>
      <w:pPr>
        <w:ind w:firstLine="640"/>
        <w:rPr>
          <w:rFonts w:ascii="仿宋" w:hAnsi="仿宋" w:cs="仿宋"/>
          <w:sz w:val="32"/>
          <w:szCs w:val="32"/>
        </w:rPr>
      </w:pPr>
      <w:r>
        <w:rPr>
          <w:rFonts w:hint="eastAsia" w:ascii="仿宋" w:hAnsi="仿宋" w:cs="仿宋"/>
          <w:sz w:val="32"/>
          <w:szCs w:val="32"/>
        </w:rPr>
        <w:t>2.费率调整系数</w:t>
      </w:r>
    </w:p>
    <w:p>
      <w:pPr>
        <w:ind w:firstLine="640"/>
        <w:rPr>
          <w:rFonts w:ascii="仿宋" w:hAnsi="仿宋" w:cs="仿宋"/>
          <w:sz w:val="32"/>
          <w:szCs w:val="32"/>
        </w:rPr>
      </w:pPr>
      <w:r>
        <w:rPr>
          <w:rFonts w:hint="eastAsia" w:ascii="仿宋" w:hAnsi="仿宋" w:cs="仿宋"/>
          <w:sz w:val="32"/>
          <w:szCs w:val="32"/>
        </w:rPr>
        <w:t>（1）保险价格调整系数</w:t>
      </w:r>
    </w:p>
    <w:p>
      <w:pPr>
        <w:ind w:firstLine="640"/>
        <w:rPr>
          <w:rFonts w:ascii="仿宋" w:hAnsi="仿宋" w:cs="仿宋"/>
          <w:sz w:val="32"/>
          <w:szCs w:val="32"/>
        </w:rPr>
      </w:pPr>
      <w:r>
        <w:rPr>
          <w:rFonts w:hint="eastAsia" w:ascii="仿宋" w:hAnsi="仿宋" w:cs="仿宋"/>
          <w:sz w:val="32"/>
          <w:szCs w:val="32"/>
        </w:rPr>
        <w:t>A.玉米</w:t>
      </w:r>
    </w:p>
    <w:tbl>
      <w:tblPr>
        <w:tblStyle w:val="19"/>
        <w:tblW w:w="7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6" w:type="dxa"/>
            <w:vAlign w:val="center"/>
          </w:tcPr>
          <w:p>
            <w:pPr>
              <w:ind w:firstLine="0" w:firstLineChars="0"/>
              <w:jc w:val="center"/>
              <w:rPr>
                <w:rFonts w:ascii="仿宋" w:hAnsi="仿宋" w:cs="仿宋"/>
                <w:sz w:val="32"/>
                <w:szCs w:val="32"/>
              </w:rPr>
            </w:pPr>
            <w:r>
              <w:rPr>
                <w:rFonts w:hint="eastAsia" w:ascii="仿宋" w:hAnsi="仿宋" w:cs="仿宋"/>
                <w:sz w:val="32"/>
                <w:szCs w:val="32"/>
              </w:rPr>
              <w:t>保险价格</w:t>
            </w:r>
          </w:p>
        </w:tc>
        <w:tc>
          <w:tcPr>
            <w:tcW w:w="1816" w:type="dxa"/>
            <w:vAlign w:val="center"/>
          </w:tcPr>
          <w:p>
            <w:pPr>
              <w:ind w:firstLine="0" w:firstLineChars="0"/>
              <w:jc w:val="center"/>
              <w:rPr>
                <w:rFonts w:ascii="仿宋" w:hAnsi="仿宋" w:cs="仿宋"/>
                <w:sz w:val="32"/>
                <w:szCs w:val="32"/>
              </w:rPr>
            </w:pPr>
            <w:r>
              <w:rPr>
                <w:rFonts w:hint="eastAsia" w:ascii="仿宋" w:hAnsi="仿宋" w:cs="仿宋"/>
                <w:sz w:val="32"/>
                <w:szCs w:val="32"/>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6" w:type="dxa"/>
            <w:vAlign w:val="center"/>
          </w:tcPr>
          <w:p>
            <w:pPr>
              <w:ind w:firstLine="0" w:firstLineChars="0"/>
              <w:jc w:val="center"/>
              <w:rPr>
                <w:rFonts w:ascii="仿宋" w:hAnsi="仿宋" w:cs="仿宋"/>
                <w:sz w:val="32"/>
                <w:szCs w:val="32"/>
              </w:rPr>
            </w:pPr>
            <w:r>
              <w:rPr>
                <w:rFonts w:hint="eastAsia" w:ascii="仿宋" w:hAnsi="仿宋" w:cs="仿宋"/>
                <w:sz w:val="32"/>
                <w:szCs w:val="32"/>
              </w:rPr>
              <w:t>高于投保当时的期货合约价格×95.9%</w:t>
            </w:r>
          </w:p>
        </w:tc>
        <w:tc>
          <w:tcPr>
            <w:tcW w:w="1816" w:type="dxa"/>
            <w:vAlign w:val="center"/>
          </w:tcPr>
          <w:p>
            <w:pPr>
              <w:ind w:firstLine="0" w:firstLineChars="0"/>
              <w:jc w:val="center"/>
              <w:rPr>
                <w:rFonts w:ascii="仿宋" w:hAnsi="仿宋" w:cs="仿宋"/>
                <w:sz w:val="32"/>
                <w:szCs w:val="32"/>
              </w:rPr>
            </w:pPr>
            <w:r>
              <w:rPr>
                <w:rFonts w:hint="eastAsia" w:ascii="仿宋" w:hAnsi="仿宋" w:cs="仿宋"/>
                <w:sz w:val="32"/>
                <w:szCs w:val="32"/>
              </w:rPr>
              <w:t>[0.7，1.0）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6" w:type="dxa"/>
            <w:vAlign w:val="center"/>
          </w:tcPr>
          <w:p>
            <w:pPr>
              <w:ind w:firstLine="0" w:firstLineChars="0"/>
              <w:jc w:val="center"/>
              <w:rPr>
                <w:rFonts w:ascii="仿宋" w:hAnsi="仿宋" w:cs="仿宋"/>
                <w:sz w:val="32"/>
                <w:szCs w:val="32"/>
              </w:rPr>
            </w:pPr>
            <w:r>
              <w:rPr>
                <w:rFonts w:hint="eastAsia" w:ascii="仿宋" w:hAnsi="仿宋" w:cs="仿宋"/>
                <w:sz w:val="32"/>
                <w:szCs w:val="32"/>
              </w:rPr>
              <w:t>等于投保当时的期货合约价格×95.9%</w:t>
            </w:r>
          </w:p>
        </w:tc>
        <w:tc>
          <w:tcPr>
            <w:tcW w:w="1816" w:type="dxa"/>
            <w:vAlign w:val="center"/>
          </w:tcPr>
          <w:p>
            <w:pPr>
              <w:ind w:firstLine="0" w:firstLineChars="0"/>
              <w:jc w:val="center"/>
              <w:rPr>
                <w:rFonts w:ascii="仿宋" w:hAnsi="仿宋" w:cs="仿宋"/>
                <w:sz w:val="32"/>
                <w:szCs w:val="32"/>
              </w:rPr>
            </w:pPr>
            <w:r>
              <w:rPr>
                <w:rFonts w:hint="eastAsia" w:ascii="仿宋" w:hAnsi="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6" w:type="dxa"/>
            <w:vAlign w:val="center"/>
          </w:tcPr>
          <w:p>
            <w:pPr>
              <w:ind w:firstLine="0" w:firstLineChars="0"/>
              <w:jc w:val="center"/>
              <w:rPr>
                <w:rFonts w:ascii="仿宋" w:hAnsi="仿宋" w:cs="仿宋"/>
                <w:sz w:val="32"/>
                <w:szCs w:val="32"/>
              </w:rPr>
            </w:pPr>
            <w:r>
              <w:rPr>
                <w:rFonts w:hint="eastAsia" w:ascii="仿宋" w:hAnsi="仿宋" w:cs="仿宋"/>
                <w:sz w:val="32"/>
                <w:szCs w:val="32"/>
              </w:rPr>
              <w:t>低于投保当时的期货合约价格×95.9%</w:t>
            </w:r>
          </w:p>
        </w:tc>
        <w:tc>
          <w:tcPr>
            <w:tcW w:w="1816" w:type="dxa"/>
            <w:vAlign w:val="center"/>
          </w:tcPr>
          <w:p>
            <w:pPr>
              <w:ind w:firstLine="0" w:firstLineChars="0"/>
              <w:jc w:val="center"/>
              <w:rPr>
                <w:rFonts w:ascii="仿宋" w:hAnsi="仿宋" w:cs="仿宋"/>
                <w:sz w:val="32"/>
                <w:szCs w:val="32"/>
              </w:rPr>
            </w:pPr>
            <w:r>
              <w:rPr>
                <w:rFonts w:hint="eastAsia" w:ascii="仿宋" w:hAnsi="仿宋" w:cs="仿宋"/>
                <w:sz w:val="32"/>
                <w:szCs w:val="32"/>
              </w:rPr>
              <w:t>（1.0，1.3]</w:t>
            </w:r>
          </w:p>
        </w:tc>
      </w:tr>
    </w:tbl>
    <w:p>
      <w:pPr>
        <w:ind w:firstLine="640"/>
        <w:rPr>
          <w:rFonts w:ascii="仿宋" w:hAnsi="仿宋" w:cs="仿宋"/>
          <w:sz w:val="32"/>
          <w:szCs w:val="32"/>
        </w:rPr>
      </w:pPr>
      <w:r>
        <w:rPr>
          <w:rFonts w:hint="eastAsia" w:ascii="仿宋" w:hAnsi="仿宋" w:cs="仿宋"/>
          <w:sz w:val="32"/>
          <w:szCs w:val="32"/>
        </w:rPr>
        <w:t>B.豆粕</w:t>
      </w:r>
    </w:p>
    <w:tbl>
      <w:tblPr>
        <w:tblStyle w:val="19"/>
        <w:tblW w:w="7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保险价格</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高于投保当时的期货合约价格×96%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等于投保当时的期货合约价格×96%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低于投保当时的期货合约价格×96%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（1.0，1.3]</w:t>
            </w:r>
          </w:p>
        </w:tc>
      </w:tr>
    </w:tbl>
    <w:p>
      <w:pPr>
        <w:ind w:firstLine="640"/>
        <w:rPr>
          <w:rFonts w:ascii="仿宋" w:hAnsi="仿宋" w:cs="仿宋"/>
          <w:sz w:val="32"/>
          <w:szCs w:val="32"/>
        </w:rPr>
      </w:pPr>
      <w:r>
        <w:rPr>
          <w:rFonts w:hint="eastAsia" w:ascii="仿宋" w:hAnsi="仿宋" w:cs="仿宋"/>
          <w:sz w:val="32"/>
          <w:szCs w:val="32"/>
        </w:rPr>
        <w:t>C.菜粕</w:t>
      </w:r>
    </w:p>
    <w:tbl>
      <w:tblPr>
        <w:tblStyle w:val="19"/>
        <w:tblW w:w="7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保险价格</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高于投保当时的期货合约价格×96%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等于投保当时的期货合约价格×96%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4" w:type="dxa"/>
            <w:vAlign w:val="center"/>
          </w:tcPr>
          <w:p>
            <w:pPr>
              <w:ind w:firstLine="0" w:firstLineChars="0"/>
              <w:jc w:val="center"/>
              <w:rPr>
                <w:rFonts w:ascii="仿宋" w:hAnsi="仿宋" w:cs="仿宋"/>
                <w:sz w:val="32"/>
                <w:szCs w:val="32"/>
              </w:rPr>
            </w:pPr>
            <w:r>
              <w:rPr>
                <w:rFonts w:hint="eastAsia" w:ascii="仿宋" w:hAnsi="仿宋" w:cs="仿宋"/>
                <w:sz w:val="32"/>
                <w:szCs w:val="32"/>
              </w:rPr>
              <w:t>低于投保当时的期货合约价格×96%</w:t>
            </w:r>
          </w:p>
        </w:tc>
        <w:tc>
          <w:tcPr>
            <w:tcW w:w="1823" w:type="dxa"/>
            <w:vAlign w:val="center"/>
          </w:tcPr>
          <w:p>
            <w:pPr>
              <w:ind w:firstLine="0" w:firstLineChars="0"/>
              <w:jc w:val="center"/>
              <w:rPr>
                <w:rFonts w:ascii="仿宋" w:hAnsi="仿宋" w:cs="仿宋"/>
                <w:sz w:val="32"/>
                <w:szCs w:val="32"/>
              </w:rPr>
            </w:pPr>
            <w:r>
              <w:rPr>
                <w:rFonts w:hint="eastAsia" w:ascii="仿宋" w:hAnsi="仿宋" w:cs="仿宋"/>
                <w:sz w:val="32"/>
                <w:szCs w:val="32"/>
              </w:rPr>
              <w:t>（1.0，1.3]</w:t>
            </w:r>
          </w:p>
        </w:tc>
      </w:tr>
    </w:tbl>
    <w:p>
      <w:pPr>
        <w:spacing w:before="156" w:beforeLines="50"/>
        <w:ind w:firstLine="640"/>
        <w:rPr>
          <w:rFonts w:ascii="仿宋" w:hAnsi="仿宋" w:cs="仿宋"/>
          <w:sz w:val="32"/>
          <w:szCs w:val="32"/>
        </w:rPr>
      </w:pPr>
    </w:p>
    <w:p>
      <w:pPr>
        <w:spacing w:before="156" w:beforeLines="50"/>
        <w:ind w:firstLine="640"/>
        <w:rPr>
          <w:rFonts w:ascii="仿宋" w:hAnsi="仿宋" w:cs="仿宋"/>
          <w:sz w:val="32"/>
          <w:szCs w:val="32"/>
        </w:rPr>
      </w:pPr>
      <w:r>
        <w:rPr>
          <w:rFonts w:hint="eastAsia" w:ascii="仿宋" w:hAnsi="仿宋" w:cs="仿宋"/>
          <w:sz w:val="32"/>
          <w:szCs w:val="32"/>
        </w:rPr>
        <w:t>（2）理赔采价期间调整系数</w:t>
      </w:r>
    </w:p>
    <w:tbl>
      <w:tblPr>
        <w:tblStyle w:val="18"/>
        <w:tblW w:w="726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87"/>
        <w:gridCol w:w="24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78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理赔采价期间</w:t>
            </w:r>
          </w:p>
        </w:tc>
        <w:tc>
          <w:tcPr>
            <w:tcW w:w="2473" w:type="dxa"/>
            <w:tcBorders>
              <w:top w:val="single" w:color="auto" w:sz="6" w:space="0"/>
              <w:left w:val="nil"/>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调整系数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787" w:type="dxa"/>
            <w:tcBorders>
              <w:top w:val="nil"/>
              <w:left w:val="single" w:color="auto" w:sz="6" w:space="0"/>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[1/3保险期间，1/2保险期间）</w:t>
            </w:r>
          </w:p>
        </w:tc>
        <w:tc>
          <w:tcPr>
            <w:tcW w:w="2473" w:type="dxa"/>
            <w:tcBorders>
              <w:top w:val="nil"/>
              <w:left w:val="nil"/>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（1.2，1.3]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787" w:type="dxa"/>
            <w:tcBorders>
              <w:top w:val="nil"/>
              <w:left w:val="single" w:color="auto" w:sz="6" w:space="0"/>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[1/2保险期间，保险期间]</w:t>
            </w:r>
          </w:p>
        </w:tc>
        <w:tc>
          <w:tcPr>
            <w:tcW w:w="2473" w:type="dxa"/>
            <w:tcBorders>
              <w:top w:val="nil"/>
              <w:left w:val="nil"/>
              <w:bottom w:val="single" w:color="auto" w:sz="6" w:space="0"/>
              <w:right w:val="single" w:color="auto" w:sz="6" w:space="0"/>
            </w:tcBorders>
            <w:shd w:val="clear" w:color="auto" w:fill="auto"/>
            <w:tcMar>
              <w:left w:w="105" w:type="dxa"/>
              <w:right w:w="105" w:type="dxa"/>
            </w:tcMar>
          </w:tcPr>
          <w:p>
            <w:pPr>
              <w:ind w:firstLine="0" w:firstLineChars="0"/>
              <w:jc w:val="center"/>
              <w:rPr>
                <w:rFonts w:ascii="仿宋" w:hAnsi="仿宋" w:cs="仿宋"/>
                <w:sz w:val="32"/>
                <w:szCs w:val="32"/>
              </w:rPr>
            </w:pPr>
            <w:r>
              <w:rPr>
                <w:rFonts w:hint="eastAsia" w:ascii="仿宋" w:hAnsi="仿宋" w:cs="仿宋"/>
                <w:sz w:val="32"/>
                <w:szCs w:val="32"/>
              </w:rPr>
              <w:t>[1.0，1.2]</w:t>
            </w:r>
          </w:p>
        </w:tc>
      </w:tr>
    </w:tbl>
    <w:p>
      <w:pPr>
        <w:spacing w:before="156" w:beforeLines="50"/>
        <w:ind w:firstLine="640"/>
        <w:rPr>
          <w:rFonts w:ascii="仿宋" w:hAnsi="仿宋" w:cs="仿宋"/>
          <w:sz w:val="32"/>
          <w:szCs w:val="32"/>
        </w:rPr>
      </w:pPr>
      <w:r>
        <w:rPr>
          <w:rFonts w:hint="eastAsia" w:ascii="仿宋" w:hAnsi="仿宋" w:cs="仿宋"/>
          <w:sz w:val="32"/>
          <w:szCs w:val="32"/>
        </w:rPr>
        <w:t>3.保险费计算</w:t>
      </w:r>
    </w:p>
    <w:p>
      <w:pPr>
        <w:ind w:firstLine="640"/>
        <w:rPr>
          <w:rFonts w:ascii="仿宋" w:hAnsi="仿宋" w:cs="仿宋"/>
          <w:sz w:val="32"/>
          <w:szCs w:val="32"/>
        </w:rPr>
      </w:pPr>
      <w:r>
        <w:rPr>
          <w:rFonts w:hint="eastAsia" w:ascii="仿宋" w:hAnsi="仿宋" w:cs="仿宋"/>
          <w:sz w:val="32"/>
          <w:szCs w:val="32"/>
        </w:rPr>
        <w:t>玉米保险费＝玉米保险价格（元/吨）×玉米基准费率×玉米保险数量（吨）×各项费率调整系数的乘积</w:t>
      </w:r>
    </w:p>
    <w:p>
      <w:pPr>
        <w:ind w:firstLine="640"/>
        <w:rPr>
          <w:rFonts w:ascii="仿宋" w:hAnsi="仿宋" w:cs="仿宋"/>
          <w:sz w:val="32"/>
          <w:szCs w:val="32"/>
        </w:rPr>
      </w:pPr>
      <w:r>
        <w:rPr>
          <w:rFonts w:hint="eastAsia" w:ascii="仿宋" w:hAnsi="仿宋" w:cs="仿宋"/>
          <w:sz w:val="32"/>
          <w:szCs w:val="32"/>
        </w:rPr>
        <w:t>豆粕保险费＝豆粕保险价格（元/吨）×豆粕基准费率×豆粕保险数量（吨）×各项费率调整系数的乘积</w:t>
      </w:r>
    </w:p>
    <w:p>
      <w:pPr>
        <w:pStyle w:val="5"/>
        <w:ind w:firstLine="640"/>
      </w:pPr>
      <w:r>
        <w:rPr>
          <w:rFonts w:hint="eastAsia" w:ascii="仿宋" w:hAnsi="仿宋" w:eastAsia="仿宋" w:cs="仿宋"/>
          <w:b w:val="0"/>
          <w:bCs w:val="0"/>
          <w:sz w:val="32"/>
        </w:rPr>
        <w:t>菜粕保险费＝菜粕保险价格（元/吨）×菜粕基准费率×菜粕保险数量（吨）×各项费率调整系数的乘积</w:t>
      </w:r>
    </w:p>
    <w:p>
      <w:pPr>
        <w:ind w:firstLine="640"/>
        <w:rPr>
          <w:rFonts w:ascii="仿宋" w:hAnsi="仿宋" w:cs="仿宋"/>
          <w:sz w:val="32"/>
          <w:szCs w:val="32"/>
        </w:rPr>
      </w:pPr>
      <w:r>
        <w:rPr>
          <w:rFonts w:hint="eastAsia" w:ascii="仿宋" w:hAnsi="仿宋" w:cs="仿宋"/>
          <w:sz w:val="32"/>
          <w:szCs w:val="32"/>
        </w:rPr>
        <w:t>总保险费＝玉米保险费＋豆粕保险费＋菜粕保险费</w:t>
      </w:r>
    </w:p>
    <w:p>
      <w:pPr>
        <w:ind w:firstLine="640"/>
        <w:rPr>
          <w:rFonts w:ascii="仿宋" w:hAnsi="仿宋" w:cs="仿宋"/>
          <w:sz w:val="32"/>
          <w:szCs w:val="32"/>
        </w:rPr>
      </w:pPr>
      <w:r>
        <w:rPr>
          <w:rFonts w:hint="eastAsia" w:ascii="仿宋" w:hAnsi="仿宋" w:cs="仿宋"/>
          <w:sz w:val="32"/>
          <w:szCs w:val="32"/>
        </w:rPr>
        <w:t>注：费率调整系数乘积对基准费率的调整幅度不能超过25%</w:t>
      </w:r>
    </w:p>
    <w:p>
      <w:pPr>
        <w:spacing w:before="156" w:beforeLines="50"/>
        <w:ind w:firstLine="640"/>
        <w:rPr>
          <w:rFonts w:ascii="仿宋" w:hAnsi="仿宋" w:cs="仿宋"/>
          <w:sz w:val="32"/>
          <w:szCs w:val="32"/>
        </w:rPr>
      </w:pPr>
      <w:r>
        <w:rPr>
          <w:rFonts w:hint="eastAsia" w:ascii="楷体" w:hAnsi="楷体" w:eastAsia="楷体" w:cs="楷体"/>
          <w:sz w:val="32"/>
          <w:szCs w:val="32"/>
        </w:rPr>
        <w:t>（五）保费补贴</w:t>
      </w:r>
    </w:p>
    <w:p>
      <w:pPr>
        <w:spacing w:line="560" w:lineRule="exact"/>
        <w:ind w:firstLine="640"/>
        <w:jc w:val="left"/>
        <w:rPr>
          <w:rFonts w:hint="eastAsia" w:ascii="仿宋" w:hAnsi="仿宋" w:cs="仿宋"/>
          <w:sz w:val="32"/>
          <w:szCs w:val="32"/>
        </w:rPr>
      </w:pPr>
      <w:r>
        <w:rPr>
          <w:rFonts w:hint="eastAsia" w:ascii="仿宋" w:hAnsi="仿宋" w:cs="仿宋"/>
          <w:sz w:val="32"/>
          <w:szCs w:val="32"/>
        </w:rPr>
        <w:t>保费由参保者和政府财政共同承担，参保者承担保费的80%，财政补贴保费的20%。</w:t>
      </w:r>
    </w:p>
    <w:p>
      <w:pPr>
        <w:spacing w:line="560" w:lineRule="exact"/>
        <w:ind w:left="0" w:leftChars="0" w:firstLine="0" w:firstLineChars="0"/>
        <w:jc w:val="center"/>
      </w:pPr>
      <w:r>
        <w:rPr>
          <w:rFonts w:hint="eastAsia" w:ascii="楷体" w:hAnsi="楷体" w:eastAsia="楷体" w:cs="楷体"/>
          <w:sz w:val="32"/>
          <w:szCs w:val="32"/>
        </w:rPr>
        <w:t>保费承担比例</w:t>
      </w:r>
    </w:p>
    <w:tbl>
      <w:tblPr>
        <w:tblStyle w:val="18"/>
        <w:tblW w:w="825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813"/>
        <w:gridCol w:w="1846"/>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481" w:type="dxa"/>
            <w:vMerge w:val="restart"/>
            <w:vAlign w:val="center"/>
          </w:tcPr>
          <w:p>
            <w:pPr>
              <w:ind w:left="0" w:leftChars="0" w:firstLine="300" w:firstLineChars="100"/>
              <w:jc w:val="both"/>
              <w:rPr>
                <w:rFonts w:hint="eastAsia" w:ascii="宋体" w:hAnsi="宋体"/>
                <w:color w:val="000000"/>
                <w:szCs w:val="21"/>
                <w:lang w:val="en-US"/>
              </w:rPr>
            </w:pPr>
            <w:r>
              <w:rPr>
                <w:rFonts w:hint="eastAsia" w:ascii="宋体" w:hAnsi="宋体"/>
                <w:color w:val="000000"/>
                <w:szCs w:val="21"/>
                <w:lang w:val="en-US"/>
              </w:rPr>
              <w:t>区域</w:t>
            </w:r>
          </w:p>
        </w:tc>
        <w:tc>
          <w:tcPr>
            <w:tcW w:w="3659" w:type="dxa"/>
            <w:gridSpan w:val="2"/>
            <w:vAlign w:val="center"/>
          </w:tcPr>
          <w:p>
            <w:pPr>
              <w:ind w:left="0" w:leftChars="0" w:firstLine="0" w:firstLineChars="0"/>
              <w:jc w:val="both"/>
              <w:rPr>
                <w:rFonts w:hint="eastAsia" w:ascii="宋体" w:hAnsi="宋体"/>
                <w:color w:val="000000"/>
                <w:szCs w:val="21"/>
                <w:lang w:val="en-US"/>
              </w:rPr>
            </w:pPr>
            <w:r>
              <w:rPr>
                <w:rFonts w:hint="eastAsia" w:ascii="宋体" w:hAnsi="宋体"/>
                <w:color w:val="000000"/>
                <w:szCs w:val="21"/>
                <w:lang w:val="en-US" w:eastAsia="zh-CN"/>
              </w:rPr>
              <w:t>市、镇</w:t>
            </w:r>
            <w:r>
              <w:rPr>
                <w:rFonts w:hint="eastAsia" w:ascii="宋体" w:hAnsi="宋体"/>
                <w:color w:val="000000"/>
                <w:szCs w:val="21"/>
                <w:lang w:val="en-US"/>
              </w:rPr>
              <w:t>财政承担比例：</w:t>
            </w:r>
            <w:r>
              <w:rPr>
                <w:rFonts w:ascii="宋体" w:hAnsi="宋体"/>
                <w:color w:val="000000"/>
                <w:szCs w:val="21"/>
                <w:lang w:val="en-US"/>
              </w:rPr>
              <w:t>2</w:t>
            </w:r>
            <w:r>
              <w:rPr>
                <w:rFonts w:hint="eastAsia" w:ascii="宋体" w:hAnsi="宋体"/>
                <w:color w:val="000000"/>
                <w:szCs w:val="21"/>
                <w:lang w:val="en-US"/>
              </w:rPr>
              <w:t>0%</w:t>
            </w:r>
          </w:p>
        </w:tc>
        <w:tc>
          <w:tcPr>
            <w:tcW w:w="3110" w:type="dxa"/>
            <w:vAlign w:val="center"/>
          </w:tcPr>
          <w:p>
            <w:pPr>
              <w:ind w:left="0" w:leftChars="0" w:firstLine="0" w:firstLineChars="0"/>
              <w:jc w:val="both"/>
              <w:rPr>
                <w:rFonts w:hint="eastAsia" w:ascii="宋体" w:hAnsi="宋体"/>
                <w:color w:val="000000"/>
                <w:szCs w:val="21"/>
                <w:lang w:val="en-US"/>
              </w:rPr>
            </w:pPr>
            <w:r>
              <w:rPr>
                <w:rFonts w:hint="eastAsia" w:ascii="宋体" w:hAnsi="宋体"/>
                <w:color w:val="000000"/>
                <w:szCs w:val="21"/>
                <w:lang w:val="en-US"/>
              </w:rPr>
              <w:t>农户承担比例：</w:t>
            </w:r>
            <w:r>
              <w:rPr>
                <w:rFonts w:ascii="宋体" w:hAnsi="宋体"/>
                <w:color w:val="000000"/>
                <w:szCs w:val="21"/>
                <w:lang w:val="en-US"/>
              </w:rPr>
              <w:t>8</w:t>
            </w:r>
            <w:r>
              <w:rPr>
                <w:rFonts w:hint="eastAsia" w:ascii="宋体" w:hAnsi="宋体"/>
                <w:color w:val="00000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81" w:type="dxa"/>
            <w:vMerge w:val="continue"/>
            <w:vAlign w:val="top"/>
          </w:tcPr>
          <w:p>
            <w:pPr>
              <w:jc w:val="center"/>
              <w:rPr>
                <w:rFonts w:hint="eastAsia" w:ascii="宋体" w:hAnsi="宋体"/>
                <w:color w:val="000000"/>
                <w:szCs w:val="21"/>
                <w:lang w:val="en-US"/>
              </w:rPr>
            </w:pPr>
          </w:p>
        </w:tc>
        <w:tc>
          <w:tcPr>
            <w:tcW w:w="1813" w:type="dxa"/>
            <w:vAlign w:val="center"/>
          </w:tcPr>
          <w:p>
            <w:pPr>
              <w:jc w:val="both"/>
              <w:rPr>
                <w:rFonts w:hint="eastAsia" w:ascii="宋体" w:hAnsi="宋体"/>
                <w:color w:val="000000"/>
                <w:szCs w:val="21"/>
                <w:lang w:val="en-US"/>
              </w:rPr>
            </w:pPr>
            <w:r>
              <w:rPr>
                <w:rFonts w:hint="eastAsia" w:ascii="宋体" w:hAnsi="宋体"/>
                <w:color w:val="000000"/>
                <w:szCs w:val="21"/>
                <w:lang w:val="en-US"/>
              </w:rPr>
              <w:t>市级</w:t>
            </w:r>
          </w:p>
        </w:tc>
        <w:tc>
          <w:tcPr>
            <w:tcW w:w="1846" w:type="dxa"/>
            <w:vAlign w:val="center"/>
          </w:tcPr>
          <w:p>
            <w:pPr>
              <w:ind w:left="0" w:leftChars="0" w:firstLine="0" w:firstLineChars="0"/>
              <w:jc w:val="both"/>
              <w:rPr>
                <w:rFonts w:hint="eastAsia" w:ascii="宋体" w:hAnsi="宋体" w:eastAsia="仿宋"/>
                <w:color w:val="000000"/>
                <w:szCs w:val="21"/>
                <w:lang w:val="en-US" w:eastAsia="zh-CN"/>
              </w:rPr>
            </w:pPr>
            <w:r>
              <w:rPr>
                <w:rFonts w:hint="eastAsia" w:ascii="宋体" w:hAnsi="宋体"/>
                <w:color w:val="000000"/>
                <w:szCs w:val="21"/>
                <w:lang w:val="en-US" w:eastAsia="zh-CN"/>
              </w:rPr>
              <w:t>镇（街道）</w:t>
            </w:r>
          </w:p>
        </w:tc>
        <w:tc>
          <w:tcPr>
            <w:tcW w:w="3110" w:type="dxa"/>
            <w:vAlign w:val="center"/>
          </w:tcPr>
          <w:p>
            <w:pPr>
              <w:ind w:firstLine="900" w:firstLineChars="300"/>
              <w:jc w:val="both"/>
              <w:rPr>
                <w:rFonts w:hint="eastAsia" w:ascii="宋体" w:hAnsi="宋体"/>
                <w:color w:val="000000"/>
                <w:szCs w:val="21"/>
                <w:lang w:val="en-US"/>
              </w:rPr>
            </w:pPr>
            <w:r>
              <w:rPr>
                <w:rFonts w:hint="eastAsia" w:ascii="宋体" w:hAnsi="宋体"/>
                <w:color w:val="000000"/>
                <w:szCs w:val="21"/>
                <w:lang w:val="en-US"/>
              </w:rPr>
              <w:t>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1" w:type="dxa"/>
            <w:vAlign w:val="center"/>
          </w:tcPr>
          <w:p>
            <w:pPr>
              <w:ind w:left="0" w:leftChars="0" w:firstLine="300" w:firstLineChars="100"/>
              <w:jc w:val="both"/>
              <w:rPr>
                <w:rFonts w:hint="eastAsia" w:ascii="宋体" w:hAnsi="宋体"/>
                <w:color w:val="000000"/>
                <w:szCs w:val="21"/>
                <w:lang w:val="en-US"/>
              </w:rPr>
            </w:pPr>
            <w:r>
              <w:rPr>
                <w:rFonts w:hint="eastAsia" w:ascii="宋体" w:hAnsi="宋体"/>
                <w:color w:val="000000"/>
                <w:szCs w:val="21"/>
                <w:lang w:val="en-US"/>
              </w:rPr>
              <w:t>中山市</w:t>
            </w:r>
          </w:p>
        </w:tc>
        <w:tc>
          <w:tcPr>
            <w:tcW w:w="1813" w:type="dxa"/>
            <w:vAlign w:val="center"/>
          </w:tcPr>
          <w:p>
            <w:pPr>
              <w:jc w:val="both"/>
              <w:rPr>
                <w:rFonts w:hint="eastAsia" w:ascii="宋体" w:hAnsi="宋体"/>
                <w:color w:val="000000"/>
                <w:szCs w:val="21"/>
                <w:lang w:val="en-US"/>
              </w:rPr>
            </w:pPr>
            <w:r>
              <w:rPr>
                <w:rFonts w:hint="eastAsia" w:ascii="宋体" w:hAnsi="宋体"/>
                <w:color w:val="000000"/>
                <w:szCs w:val="21"/>
                <w:lang w:val="en-US" w:eastAsia="zh-CN"/>
              </w:rPr>
              <w:t>12</w:t>
            </w:r>
            <w:r>
              <w:rPr>
                <w:rFonts w:hint="eastAsia" w:ascii="宋体" w:hAnsi="宋体"/>
                <w:color w:val="000000"/>
                <w:szCs w:val="21"/>
                <w:lang w:val="en-US"/>
              </w:rPr>
              <w:t>%</w:t>
            </w:r>
          </w:p>
        </w:tc>
        <w:tc>
          <w:tcPr>
            <w:tcW w:w="1846" w:type="dxa"/>
            <w:vAlign w:val="center"/>
          </w:tcPr>
          <w:p>
            <w:pPr>
              <w:jc w:val="both"/>
              <w:rPr>
                <w:rFonts w:hint="eastAsia" w:ascii="宋体" w:hAnsi="宋体" w:eastAsia="仿宋"/>
                <w:color w:val="000000"/>
                <w:szCs w:val="21"/>
                <w:lang w:val="en-US" w:eastAsia="zh-CN"/>
              </w:rPr>
            </w:pPr>
            <w:r>
              <w:rPr>
                <w:rFonts w:hint="eastAsia" w:ascii="宋体" w:hAnsi="宋体"/>
                <w:color w:val="000000"/>
                <w:szCs w:val="21"/>
                <w:lang w:val="en-US" w:eastAsia="zh-CN"/>
              </w:rPr>
              <w:t>8%</w:t>
            </w:r>
          </w:p>
        </w:tc>
        <w:tc>
          <w:tcPr>
            <w:tcW w:w="3110" w:type="dxa"/>
            <w:vAlign w:val="center"/>
          </w:tcPr>
          <w:p>
            <w:pPr>
              <w:ind w:firstLine="900" w:firstLineChars="300"/>
              <w:jc w:val="both"/>
              <w:rPr>
                <w:rFonts w:hint="eastAsia" w:ascii="宋体" w:hAnsi="宋体"/>
                <w:color w:val="000000"/>
                <w:szCs w:val="21"/>
                <w:lang w:val="en-US"/>
              </w:rPr>
            </w:pPr>
            <w:r>
              <w:rPr>
                <w:rFonts w:hint="eastAsia" w:ascii="宋体" w:hAnsi="宋体"/>
                <w:color w:val="000000"/>
                <w:szCs w:val="21"/>
                <w:lang w:val="en-US"/>
              </w:rPr>
              <w:t>80%</w:t>
            </w:r>
          </w:p>
        </w:tc>
      </w:tr>
    </w:tbl>
    <w:p>
      <w:pPr>
        <w:spacing w:before="156" w:beforeLines="50"/>
        <w:ind w:firstLine="640"/>
        <w:rPr>
          <w:rFonts w:ascii="仿宋" w:hAnsi="仿宋" w:cs="仿宋"/>
          <w:sz w:val="32"/>
          <w:szCs w:val="32"/>
        </w:rPr>
      </w:pPr>
      <w:r>
        <w:rPr>
          <w:rFonts w:hint="eastAsia" w:ascii="楷体" w:hAnsi="楷体" w:eastAsia="楷体" w:cs="楷体"/>
          <w:sz w:val="32"/>
          <w:szCs w:val="32"/>
        </w:rPr>
        <w:t>（六）理赔服务</w:t>
      </w:r>
    </w:p>
    <w:p>
      <w:pPr>
        <w:ind w:firstLine="640"/>
        <w:rPr>
          <w:rFonts w:ascii="仿宋" w:hAnsi="仿宋" w:cs="仿宋"/>
          <w:sz w:val="32"/>
          <w:szCs w:val="32"/>
        </w:rPr>
      </w:pPr>
      <w:r>
        <w:rPr>
          <w:rFonts w:hint="eastAsia" w:ascii="仿宋" w:hAnsi="仿宋" w:cs="仿宋"/>
          <w:sz w:val="32"/>
          <w:szCs w:val="32"/>
        </w:rPr>
        <w:t>保险期间结束后，保险机构应当根据本方案约定的期货合约交易数据，及时作出是否属于保险责任的核定；情形复杂的，应当在三十日内作出核定，但合同另有约定的除外。</w:t>
      </w:r>
    </w:p>
    <w:p>
      <w:pPr>
        <w:ind w:firstLine="640"/>
        <w:rPr>
          <w:rFonts w:ascii="仿宋" w:hAnsi="仿宋" w:cs="仿宋"/>
          <w:sz w:val="32"/>
          <w:szCs w:val="32"/>
        </w:rPr>
      </w:pPr>
      <w:r>
        <w:rPr>
          <w:rFonts w:hint="eastAsia" w:ascii="仿宋" w:hAnsi="仿宋" w:cs="仿宋"/>
          <w:sz w:val="32"/>
          <w:szCs w:val="32"/>
        </w:rPr>
        <w:t>发生保险事故时，保险机构按以下方式计算赔偿：</w:t>
      </w:r>
    </w:p>
    <w:p>
      <w:pPr>
        <w:ind w:firstLine="640"/>
        <w:rPr>
          <w:rFonts w:ascii="仿宋" w:hAnsi="仿宋" w:cs="仿宋"/>
          <w:sz w:val="32"/>
          <w:szCs w:val="32"/>
        </w:rPr>
      </w:pPr>
      <w:r>
        <w:rPr>
          <w:rFonts w:hint="eastAsia" w:ascii="仿宋" w:hAnsi="仿宋" w:cs="仿宋"/>
          <w:sz w:val="32"/>
          <w:szCs w:val="32"/>
        </w:rPr>
        <w:t>玉米赔偿金额=（玉米理赔结算价-玉米保险价格）（元/吨）×玉米保险数量（吨）</w:t>
      </w:r>
    </w:p>
    <w:p>
      <w:pPr>
        <w:ind w:firstLine="640"/>
        <w:rPr>
          <w:rFonts w:ascii="仿宋" w:hAnsi="仿宋" w:cs="仿宋"/>
          <w:sz w:val="32"/>
          <w:szCs w:val="32"/>
        </w:rPr>
      </w:pPr>
      <w:r>
        <w:rPr>
          <w:rFonts w:hint="eastAsia" w:ascii="仿宋" w:hAnsi="仿宋" w:cs="仿宋"/>
          <w:sz w:val="32"/>
          <w:szCs w:val="32"/>
        </w:rPr>
        <w:t>豆粕赔偿金额=（豆粕理赔结算价-豆粕保险价格）（元/吨）×豆粕保险数量（吨）</w:t>
      </w:r>
    </w:p>
    <w:p>
      <w:pPr>
        <w:pStyle w:val="5"/>
        <w:ind w:firstLine="640"/>
      </w:pPr>
      <w:r>
        <w:rPr>
          <w:rFonts w:hint="eastAsia" w:ascii="仿宋" w:hAnsi="仿宋" w:eastAsia="仿宋" w:cs="仿宋"/>
          <w:b w:val="0"/>
          <w:bCs w:val="0"/>
          <w:sz w:val="32"/>
        </w:rPr>
        <w:t>菜粕赔偿金额=（菜粕理赔结算价-菜粕保险价格）（元/吨）×菜粕保险数量（吨）</w:t>
      </w:r>
    </w:p>
    <w:p>
      <w:pPr>
        <w:ind w:firstLine="640"/>
        <w:rPr>
          <w:rFonts w:ascii="仿宋" w:hAnsi="仿宋" w:cs="仿宋"/>
          <w:sz w:val="32"/>
          <w:szCs w:val="32"/>
        </w:rPr>
      </w:pPr>
      <w:r>
        <w:rPr>
          <w:rFonts w:hint="eastAsia" w:ascii="仿宋" w:hAnsi="仿宋" w:cs="仿宋"/>
          <w:sz w:val="32"/>
          <w:szCs w:val="32"/>
        </w:rPr>
        <w:t>赔偿金额=玉米赔偿金额（元）+豆粕赔偿金额（元）+菜粕赔偿金额（元）</w:t>
      </w:r>
    </w:p>
    <w:p>
      <w:pPr>
        <w:ind w:firstLine="640"/>
        <w:rPr>
          <w:rFonts w:ascii="仿宋" w:hAnsi="仿宋" w:cs="仿宋"/>
          <w:sz w:val="32"/>
          <w:szCs w:val="32"/>
        </w:rPr>
      </w:pPr>
      <w:r>
        <w:rPr>
          <w:rFonts w:hint="eastAsia" w:ascii="仿宋" w:hAnsi="仿宋" w:cs="仿宋"/>
          <w:sz w:val="32"/>
          <w:szCs w:val="32"/>
        </w:rPr>
        <w:t>注：累计赔偿金额以保险金额为限。</w:t>
      </w:r>
    </w:p>
    <w:p>
      <w:pPr>
        <w:spacing w:before="156" w:beforeLines="50"/>
        <w:ind w:firstLine="640"/>
        <w:rPr>
          <w:rFonts w:ascii="仿宋" w:hAnsi="仿宋" w:cs="仿宋"/>
          <w:sz w:val="32"/>
          <w:szCs w:val="32"/>
        </w:rPr>
      </w:pPr>
      <w:r>
        <w:rPr>
          <w:rFonts w:hint="eastAsia" w:ascii="楷体" w:hAnsi="楷体" w:eastAsia="楷体" w:cs="楷体"/>
          <w:sz w:val="32"/>
          <w:szCs w:val="32"/>
        </w:rPr>
        <w:t>（七）承保机构</w:t>
      </w:r>
    </w:p>
    <w:p>
      <w:pPr>
        <w:ind w:firstLine="640"/>
        <w:rPr>
          <w:rFonts w:ascii="仿宋" w:hAnsi="仿宋" w:cs="仿宋"/>
          <w:sz w:val="32"/>
          <w:szCs w:val="32"/>
        </w:rPr>
      </w:pPr>
      <w:r>
        <w:rPr>
          <w:rFonts w:hint="eastAsia" w:ascii="仿宋" w:hAnsi="仿宋" w:cs="仿宋"/>
          <w:sz w:val="32"/>
          <w:szCs w:val="32"/>
        </w:rPr>
        <w:t>由中山市农业农村局按相关规定进行招标，确定若干家承保机构。市农业农村局对承保机构实行动态管理，每年第一季会同相关部门对承保机构上一年工作进行考核，实行奖罚制度。对考核结果好的承保机构，可以适当增加其业务；对考核不合格的承保机构，或减少其承保区域和业务，或取消其承保资格。</w:t>
      </w:r>
    </w:p>
    <w:p>
      <w:pPr>
        <w:pStyle w:val="4"/>
        <w:spacing w:before="156" w:after="156"/>
        <w:ind w:firstLine="643"/>
      </w:pPr>
      <w:bookmarkStart w:id="12" w:name="_Toc5913_WPSOffice_Level1"/>
      <w:bookmarkStart w:id="13" w:name="_Toc31322_WPSOffice_Level1"/>
      <w:r>
        <w:rPr>
          <w:rFonts w:hint="eastAsia" w:ascii="黑体" w:hAnsi="黑体" w:eastAsia="黑体" w:cs="黑体"/>
          <w:b w:val="0"/>
          <w:bCs/>
        </w:rPr>
        <w:t>六、实施步骤</w:t>
      </w:r>
      <w:bookmarkEnd w:id="12"/>
      <w:bookmarkEnd w:id="13"/>
    </w:p>
    <w:p>
      <w:pPr>
        <w:ind w:firstLine="640"/>
        <w:rPr>
          <w:rFonts w:ascii="仿宋" w:hAnsi="仿宋" w:cs="仿宋"/>
          <w:sz w:val="32"/>
          <w:szCs w:val="32"/>
        </w:rPr>
      </w:pPr>
      <w:r>
        <w:rPr>
          <w:rFonts w:hint="eastAsia" w:ascii="仿宋" w:hAnsi="仿宋" w:cs="仿宋"/>
          <w:sz w:val="32"/>
          <w:szCs w:val="32"/>
        </w:rPr>
        <w:t>（一）申请参保。符合条件的投保人，凭身份证、银行账户、《土地经营承包合同》等资料向承保机构申请，填写相关资料，经审核后一次付清自负部分保费，由承保机构签发保单。</w:t>
      </w:r>
    </w:p>
    <w:p>
      <w:pPr>
        <w:ind w:firstLine="640"/>
        <w:rPr>
          <w:rFonts w:ascii="仿宋" w:hAnsi="仿宋" w:cs="仿宋"/>
          <w:sz w:val="32"/>
          <w:szCs w:val="32"/>
        </w:rPr>
      </w:pPr>
      <w:r>
        <w:rPr>
          <w:rFonts w:hint="eastAsia" w:ascii="仿宋" w:hAnsi="仿宋" w:cs="仿宋"/>
          <w:sz w:val="32"/>
          <w:szCs w:val="32"/>
        </w:rPr>
        <w:t>（二）签单收费。由承保机构签单收费，对保险标的要有明确的登记，并归档保存。承保机构根据保费补贴政策分别计算财政补贴保费和投保人实交保费。投保单经承保机构审核通过，并完成收讫保费(投保人承担部分)后出具正式保单及发票。</w:t>
      </w:r>
    </w:p>
    <w:p>
      <w:pPr>
        <w:pStyle w:val="4"/>
        <w:spacing w:before="156" w:after="156"/>
        <w:ind w:firstLine="643"/>
      </w:pPr>
      <w:bookmarkStart w:id="14" w:name="_Toc31238_WPSOffice_Level1"/>
      <w:bookmarkStart w:id="15" w:name="_Toc21104_WPSOffice_Level1"/>
      <w:r>
        <w:rPr>
          <w:rFonts w:hint="eastAsia" w:ascii="黑体" w:hAnsi="黑体" w:eastAsia="黑体" w:cs="黑体"/>
          <w:b w:val="0"/>
          <w:bCs/>
        </w:rPr>
        <w:t>七、财政补贴资金结算拨付</w:t>
      </w:r>
      <w:bookmarkEnd w:id="14"/>
      <w:bookmarkEnd w:id="15"/>
    </w:p>
    <w:p>
      <w:pPr>
        <w:ind w:firstLine="640"/>
        <w:rPr>
          <w:rFonts w:ascii="仿宋" w:hAnsi="仿宋" w:cs="仿宋"/>
          <w:sz w:val="32"/>
          <w:szCs w:val="32"/>
        </w:rPr>
      </w:pPr>
      <w:r>
        <w:rPr>
          <w:rFonts w:hint="eastAsia" w:ascii="仿宋" w:hAnsi="仿宋" w:cs="仿宋"/>
          <w:sz w:val="32"/>
          <w:szCs w:val="32"/>
        </w:rPr>
        <w:t>市财政保费补贴资金按季度拨付。承保机构汇总保险承保情况，编制市级财政保费补贴申请，报送市农业农村局审核，按程序办理补贴资金拨付手续。为便于年终结算，第四季度保费补贴资金于下年度第一季度拨付。</w:t>
      </w:r>
    </w:p>
    <w:p>
      <w:pPr>
        <w:ind w:firstLine="640"/>
        <w:rPr>
          <w:rFonts w:ascii="仿宋" w:hAnsi="仿宋" w:cs="仿宋"/>
          <w:sz w:val="32"/>
          <w:szCs w:val="32"/>
        </w:rPr>
      </w:pPr>
      <w:bookmarkStart w:id="16" w:name="_Toc12543_WPSOffice_Level1"/>
      <w:bookmarkStart w:id="17" w:name="_Toc11005_WPSOffice_Level1"/>
      <w:r>
        <w:rPr>
          <w:rFonts w:hint="eastAsia" w:ascii="仿宋" w:hAnsi="仿宋" w:cs="仿宋"/>
          <w:sz w:val="32"/>
          <w:szCs w:val="32"/>
        </w:rPr>
        <w:t>保费补贴资金实行专项管理、分账核算。加强对保费补贴资金使用情况的监督和检查，确保专款专用。如发现保险经办机构和有关单位提供虚假材料骗取保费补贴资金，财政部门将追回相应补贴资金，并视情节轻重追究有关单位和人员责任。</w:t>
      </w:r>
    </w:p>
    <w:p>
      <w:pPr>
        <w:pStyle w:val="4"/>
        <w:spacing w:before="156" w:after="156"/>
        <w:ind w:firstLine="643"/>
      </w:pPr>
      <w:r>
        <w:rPr>
          <w:rFonts w:hint="eastAsia" w:ascii="黑体" w:hAnsi="黑体" w:eastAsia="黑体" w:cs="黑体"/>
          <w:b w:val="0"/>
          <w:bCs/>
        </w:rPr>
        <w:t>八、各有关方面职责</w:t>
      </w:r>
      <w:bookmarkEnd w:id="16"/>
      <w:bookmarkEnd w:id="17"/>
    </w:p>
    <w:p>
      <w:pPr>
        <w:spacing w:before="156" w:beforeLines="50"/>
        <w:ind w:firstLine="640"/>
        <w:rPr>
          <w:rFonts w:ascii="仿宋" w:hAnsi="仿宋" w:cs="仿宋"/>
          <w:sz w:val="32"/>
          <w:szCs w:val="32"/>
        </w:rPr>
      </w:pPr>
      <w:r>
        <w:rPr>
          <w:rFonts w:hint="eastAsia" w:ascii="楷体" w:hAnsi="楷体" w:eastAsia="楷体" w:cs="楷体"/>
          <w:sz w:val="32"/>
          <w:szCs w:val="32"/>
        </w:rPr>
        <w:t>（一）承保机构</w:t>
      </w:r>
    </w:p>
    <w:p>
      <w:pPr>
        <w:ind w:firstLine="640"/>
        <w:rPr>
          <w:rFonts w:ascii="仿宋" w:hAnsi="仿宋" w:cs="仿宋"/>
          <w:sz w:val="32"/>
          <w:szCs w:val="32"/>
        </w:rPr>
      </w:pPr>
      <w:r>
        <w:rPr>
          <w:rFonts w:hint="eastAsia" w:ascii="仿宋" w:hAnsi="仿宋" w:cs="仿宋"/>
          <w:sz w:val="32"/>
          <w:szCs w:val="32"/>
        </w:rPr>
        <w:t>承保机构要加强管理，确保</w:t>
      </w:r>
      <w:r>
        <w:rPr>
          <w:rFonts w:hint="eastAsia" w:ascii="仿宋" w:hAnsi="仿宋" w:cs="仿宋"/>
          <w:sz w:val="32"/>
          <w:szCs w:val="32"/>
          <w:lang w:eastAsia="zh-CN"/>
        </w:rPr>
        <w:t>鱼饲料价格</w:t>
      </w:r>
      <w:r>
        <w:rPr>
          <w:rFonts w:hint="eastAsia" w:ascii="仿宋" w:hAnsi="仿宋" w:cs="仿宋"/>
          <w:sz w:val="32"/>
          <w:szCs w:val="32"/>
        </w:rPr>
        <w:t>指数保险顺利实施。</w:t>
      </w:r>
    </w:p>
    <w:p>
      <w:pPr>
        <w:ind w:firstLine="640"/>
        <w:rPr>
          <w:rFonts w:ascii="仿宋" w:hAnsi="仿宋" w:cs="仿宋"/>
          <w:sz w:val="32"/>
          <w:szCs w:val="32"/>
        </w:rPr>
      </w:pPr>
      <w:r>
        <w:rPr>
          <w:rFonts w:hint="eastAsia" w:ascii="仿宋" w:hAnsi="仿宋" w:cs="仿宋"/>
          <w:sz w:val="32"/>
          <w:szCs w:val="32"/>
        </w:rPr>
        <w:t>1.加强业务宣传，认真向水产养殖生产经营者介绍有关保险知识，明确告知保险责任范围，不断提高办事服务水平。</w:t>
      </w:r>
    </w:p>
    <w:p>
      <w:pPr>
        <w:ind w:firstLine="640"/>
        <w:rPr>
          <w:rFonts w:ascii="仿宋" w:hAnsi="仿宋" w:cs="仿宋"/>
          <w:sz w:val="32"/>
          <w:szCs w:val="32"/>
        </w:rPr>
      </w:pPr>
      <w:r>
        <w:rPr>
          <w:rFonts w:hint="eastAsia" w:ascii="仿宋" w:hAnsi="仿宋" w:cs="仿宋"/>
          <w:sz w:val="32"/>
          <w:szCs w:val="32"/>
        </w:rPr>
        <w:t>2.严格承保条件，确保核实投保数量和投保价值。</w:t>
      </w:r>
    </w:p>
    <w:p>
      <w:pPr>
        <w:ind w:firstLine="640"/>
        <w:rPr>
          <w:rFonts w:ascii="仿宋" w:hAnsi="仿宋" w:cs="仿宋"/>
          <w:sz w:val="32"/>
          <w:szCs w:val="32"/>
        </w:rPr>
      </w:pPr>
      <w:r>
        <w:rPr>
          <w:rFonts w:hint="eastAsia" w:ascii="仿宋" w:hAnsi="仿宋" w:cs="仿宋"/>
          <w:sz w:val="32"/>
          <w:szCs w:val="32"/>
        </w:rPr>
        <w:t>3.建立健全承保、理赔服务、查勘、赔案理算和案卷管理环节的管理制度，建立和完善承保、核保、定损、理赔流程和信息管理系统。依据保险条款开展理赔工作，对保险事故做到快速查勘定损，及时支付保险赔款，协助被保险人尽早恢复生产。承保机构应建立和完善</w:t>
      </w:r>
      <w:r>
        <w:rPr>
          <w:rFonts w:hint="eastAsia" w:ascii="仿宋" w:hAnsi="仿宋" w:cs="仿宋"/>
          <w:sz w:val="32"/>
          <w:szCs w:val="32"/>
          <w:lang w:eastAsia="zh-CN"/>
        </w:rPr>
        <w:t>鱼饲料价格</w:t>
      </w:r>
      <w:r>
        <w:rPr>
          <w:rFonts w:hint="eastAsia" w:ascii="仿宋" w:hAnsi="仿宋" w:cs="仿宋"/>
          <w:sz w:val="32"/>
          <w:szCs w:val="32"/>
        </w:rPr>
        <w:t>指数保险业务相关的各项制度、细则及风险管控措施，并报市级农业农村局、市银保监管部门备案。</w:t>
      </w:r>
    </w:p>
    <w:p>
      <w:pPr>
        <w:ind w:firstLine="640"/>
        <w:rPr>
          <w:rFonts w:ascii="仿宋" w:hAnsi="仿宋" w:cs="仿宋"/>
          <w:sz w:val="32"/>
          <w:szCs w:val="32"/>
        </w:rPr>
      </w:pPr>
      <w:r>
        <w:rPr>
          <w:rFonts w:hint="eastAsia" w:ascii="仿宋" w:hAnsi="仿宋" w:cs="仿宋"/>
          <w:sz w:val="32"/>
          <w:szCs w:val="32"/>
        </w:rPr>
        <w:t>4.积极配合有关部门，做好防灾减灾工作。包括聘请专家，通过多种形式为水产养殖生产经营者提供防灾防损培训，普及相关保险知识，督促其认真落实安全生产措施等。</w:t>
      </w:r>
    </w:p>
    <w:p>
      <w:pPr>
        <w:ind w:firstLine="640"/>
        <w:rPr>
          <w:rFonts w:ascii="仿宋" w:hAnsi="仿宋" w:cs="仿宋"/>
          <w:sz w:val="32"/>
          <w:szCs w:val="32"/>
        </w:rPr>
      </w:pPr>
      <w:r>
        <w:rPr>
          <w:rFonts w:hint="eastAsia" w:ascii="仿宋" w:hAnsi="仿宋" w:cs="仿宋"/>
          <w:sz w:val="32"/>
          <w:szCs w:val="32"/>
        </w:rPr>
        <w:t>5.独立建账、单独核算。定期向市农业、财政、市银保监管部门报告上一年度</w:t>
      </w:r>
      <w:r>
        <w:rPr>
          <w:rFonts w:hint="eastAsia" w:ascii="仿宋" w:hAnsi="仿宋" w:cs="仿宋"/>
          <w:sz w:val="32"/>
          <w:szCs w:val="32"/>
          <w:lang w:eastAsia="zh-CN"/>
        </w:rPr>
        <w:t>鱼饲料价格</w:t>
      </w:r>
      <w:r>
        <w:rPr>
          <w:rFonts w:hint="eastAsia" w:ascii="仿宋" w:hAnsi="仿宋" w:cs="仿宋"/>
          <w:sz w:val="32"/>
          <w:szCs w:val="32"/>
        </w:rPr>
        <w:t>指数保险保费收支执行情况。</w:t>
      </w:r>
    </w:p>
    <w:p>
      <w:pPr>
        <w:spacing w:before="156" w:beforeLines="50"/>
        <w:ind w:firstLine="640"/>
        <w:rPr>
          <w:rFonts w:ascii="仿宋" w:hAnsi="仿宋" w:cs="仿宋"/>
          <w:sz w:val="32"/>
          <w:szCs w:val="32"/>
        </w:rPr>
      </w:pPr>
      <w:r>
        <w:rPr>
          <w:rFonts w:hint="eastAsia" w:ascii="楷体" w:hAnsi="楷体" w:eastAsia="楷体" w:cs="楷体"/>
          <w:sz w:val="32"/>
          <w:szCs w:val="32"/>
        </w:rPr>
        <w:t>（二）农业农村主管部门</w:t>
      </w:r>
    </w:p>
    <w:p>
      <w:pPr>
        <w:ind w:firstLine="640"/>
        <w:rPr>
          <w:rFonts w:ascii="仿宋" w:hAnsi="仿宋" w:cs="仿宋"/>
          <w:sz w:val="32"/>
          <w:szCs w:val="32"/>
        </w:rPr>
      </w:pPr>
      <w:r>
        <w:rPr>
          <w:rFonts w:hint="eastAsia" w:ascii="仿宋" w:hAnsi="仿宋" w:cs="仿宋"/>
          <w:sz w:val="32"/>
          <w:szCs w:val="32"/>
        </w:rPr>
        <w:t>1.农业农村主管部门作为</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工作的牵头组织部门，应加强对</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工作的指导与协调。</w:t>
      </w:r>
    </w:p>
    <w:p>
      <w:pPr>
        <w:ind w:firstLine="640"/>
        <w:rPr>
          <w:rFonts w:ascii="仿宋" w:hAnsi="仿宋" w:cs="仿宋"/>
          <w:sz w:val="32"/>
          <w:szCs w:val="32"/>
        </w:rPr>
      </w:pPr>
      <w:r>
        <w:rPr>
          <w:rFonts w:hint="eastAsia" w:ascii="仿宋" w:hAnsi="仿宋" w:cs="仿宋"/>
          <w:sz w:val="32"/>
          <w:szCs w:val="32"/>
        </w:rPr>
        <w:t>2.与承保机构共同负责</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的宣传推动，扩大</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的覆盖面。</w:t>
      </w:r>
    </w:p>
    <w:p>
      <w:pPr>
        <w:ind w:firstLine="640"/>
        <w:rPr>
          <w:rFonts w:ascii="仿宋" w:hAnsi="仿宋" w:cs="仿宋"/>
          <w:sz w:val="32"/>
          <w:szCs w:val="32"/>
        </w:rPr>
      </w:pPr>
      <w:r>
        <w:rPr>
          <w:rFonts w:hint="eastAsia" w:ascii="仿宋" w:hAnsi="仿宋" w:cs="仿宋"/>
          <w:sz w:val="32"/>
          <w:szCs w:val="32"/>
        </w:rPr>
        <w:t>3.认真审核保险经办机构提供的业务、财务报表，并签署盖章确认。</w:t>
      </w:r>
    </w:p>
    <w:p>
      <w:pPr>
        <w:ind w:firstLine="640"/>
        <w:rPr>
          <w:rFonts w:ascii="仿宋" w:hAnsi="仿宋" w:cs="仿宋"/>
          <w:sz w:val="32"/>
          <w:szCs w:val="32"/>
        </w:rPr>
      </w:pPr>
      <w:r>
        <w:rPr>
          <w:rFonts w:hint="eastAsia" w:ascii="仿宋" w:hAnsi="仿宋" w:cs="仿宋"/>
          <w:sz w:val="32"/>
          <w:szCs w:val="32"/>
        </w:rPr>
        <w:t>4.及时了解</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情况，掌握</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保费补贴资金使用情况，加强对承保机构的督促指导，切实维护水产养殖生产经营者的合法权益。</w:t>
      </w:r>
    </w:p>
    <w:p>
      <w:pPr>
        <w:ind w:firstLine="640"/>
        <w:rPr>
          <w:rFonts w:ascii="仿宋" w:hAnsi="仿宋" w:cs="仿宋"/>
          <w:sz w:val="32"/>
          <w:szCs w:val="32"/>
        </w:rPr>
      </w:pPr>
      <w:r>
        <w:rPr>
          <w:rFonts w:hint="eastAsia" w:ascii="仿宋" w:hAnsi="仿宋" w:cs="仿宋"/>
          <w:sz w:val="32"/>
          <w:szCs w:val="32"/>
        </w:rPr>
        <w:t>5.组织有关部门对</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的承保理赔、勘察定损、保险标的日常管理提供必要技术支持；开展</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的调查研究，根据水产养殖科学发展的需要和水产养殖生产经营者的诉求，提出完善</w:t>
      </w:r>
      <w:r>
        <w:rPr>
          <w:rFonts w:hint="eastAsia" w:ascii="仿宋" w:hAnsi="仿宋" w:cs="仿宋"/>
          <w:sz w:val="32"/>
          <w:szCs w:val="32"/>
          <w:lang w:eastAsia="zh-CN"/>
        </w:rPr>
        <w:t>鱼饲料价格</w:t>
      </w:r>
      <w:r>
        <w:rPr>
          <w:rFonts w:hint="eastAsia" w:ascii="仿宋" w:hAnsi="仿宋" w:cs="仿宋"/>
          <w:sz w:val="32"/>
          <w:szCs w:val="32"/>
          <w:lang w:val="en"/>
        </w:rPr>
        <w:t>指数保险</w:t>
      </w:r>
      <w:r>
        <w:rPr>
          <w:rFonts w:hint="eastAsia" w:ascii="仿宋" w:hAnsi="仿宋" w:cs="仿宋"/>
          <w:sz w:val="32"/>
          <w:szCs w:val="32"/>
        </w:rPr>
        <w:t>工作的意见和建议。</w:t>
      </w:r>
    </w:p>
    <w:p>
      <w:pPr>
        <w:spacing w:before="156" w:beforeLines="50"/>
        <w:ind w:firstLine="640"/>
        <w:rPr>
          <w:rFonts w:ascii="仿宋" w:hAnsi="仿宋" w:cs="仿宋"/>
          <w:sz w:val="32"/>
          <w:szCs w:val="32"/>
        </w:rPr>
      </w:pPr>
      <w:r>
        <w:rPr>
          <w:rFonts w:hint="eastAsia" w:ascii="楷体" w:hAnsi="楷体" w:eastAsia="楷体" w:cs="楷体"/>
          <w:sz w:val="32"/>
          <w:szCs w:val="32"/>
        </w:rPr>
        <w:t>（三）财政部门</w:t>
      </w:r>
    </w:p>
    <w:p>
      <w:pPr>
        <w:ind w:firstLine="640"/>
        <w:rPr>
          <w:rFonts w:ascii="仿宋" w:hAnsi="仿宋" w:cs="仿宋"/>
          <w:sz w:val="32"/>
          <w:szCs w:val="32"/>
        </w:rPr>
      </w:pPr>
      <w:r>
        <w:rPr>
          <w:rFonts w:hint="eastAsia" w:ascii="仿宋" w:hAnsi="仿宋" w:cs="仿宋"/>
          <w:sz w:val="32"/>
          <w:szCs w:val="32"/>
        </w:rPr>
        <w:t>市财政部门，按照规定的负担比例，及时足额落实本级保险保费补贴资金；加强保费补贴资金监管，确保资金专款专用。</w:t>
      </w:r>
    </w:p>
    <w:p>
      <w:pPr>
        <w:spacing w:before="156" w:beforeLines="50"/>
        <w:ind w:firstLine="640"/>
        <w:rPr>
          <w:rFonts w:ascii="仿宋" w:hAnsi="仿宋" w:cs="仿宋"/>
          <w:sz w:val="32"/>
          <w:szCs w:val="32"/>
        </w:rPr>
      </w:pPr>
      <w:r>
        <w:rPr>
          <w:rFonts w:hint="eastAsia" w:ascii="楷体" w:hAnsi="楷体" w:eastAsia="楷体" w:cs="楷体"/>
          <w:sz w:val="32"/>
          <w:szCs w:val="32"/>
        </w:rPr>
        <w:t>（四）保险监管部门</w:t>
      </w:r>
    </w:p>
    <w:p>
      <w:pPr>
        <w:ind w:firstLine="640"/>
        <w:rPr>
          <w:rFonts w:ascii="仿宋" w:hAnsi="仿宋" w:cs="仿宋"/>
          <w:sz w:val="32"/>
          <w:szCs w:val="32"/>
        </w:rPr>
      </w:pPr>
      <w:r>
        <w:rPr>
          <w:rFonts w:hint="eastAsia" w:ascii="仿宋" w:hAnsi="仿宋" w:cs="仿宋"/>
          <w:sz w:val="32"/>
          <w:szCs w:val="32"/>
        </w:rPr>
        <w:t>1.加强市场监管，完善监管体系。加强对承保、理赔、服务等环节的监管，强化风险防范，督促承保机构提高服务水平。采取措施防止承保机构恶性价格竞争、中途退出承保等情况，切实维护</w:t>
      </w:r>
      <w:r>
        <w:rPr>
          <w:rFonts w:hint="eastAsia" w:ascii="仿宋" w:hAnsi="仿宋" w:cs="仿宋"/>
          <w:sz w:val="32"/>
          <w:szCs w:val="32"/>
          <w:lang w:eastAsia="zh-CN"/>
        </w:rPr>
        <w:t>鱼饲料价格</w:t>
      </w:r>
      <w:r>
        <w:rPr>
          <w:rFonts w:hint="eastAsia" w:ascii="仿宋" w:hAnsi="仿宋" w:cs="仿宋"/>
          <w:sz w:val="32"/>
          <w:szCs w:val="32"/>
        </w:rPr>
        <w:t>指数保险工作的有序开展。</w:t>
      </w:r>
    </w:p>
    <w:p>
      <w:pPr>
        <w:ind w:firstLine="640"/>
        <w:rPr>
          <w:rFonts w:ascii="仿宋" w:hAnsi="仿宋" w:cs="仿宋"/>
          <w:sz w:val="32"/>
          <w:szCs w:val="32"/>
        </w:rPr>
      </w:pPr>
      <w:r>
        <w:rPr>
          <w:rFonts w:hint="eastAsia" w:ascii="仿宋" w:hAnsi="仿宋" w:cs="仿宋"/>
          <w:sz w:val="32"/>
          <w:szCs w:val="32"/>
        </w:rPr>
        <w:t>2.及时了解我市</w:t>
      </w:r>
      <w:r>
        <w:rPr>
          <w:rFonts w:hint="eastAsia" w:ascii="仿宋" w:hAnsi="仿宋" w:cs="仿宋"/>
          <w:sz w:val="32"/>
          <w:szCs w:val="32"/>
          <w:lang w:eastAsia="zh-CN"/>
        </w:rPr>
        <w:t>鱼饲料价格</w:t>
      </w:r>
      <w:r>
        <w:rPr>
          <w:rFonts w:hint="eastAsia" w:ascii="仿宋" w:hAnsi="仿宋" w:cs="仿宋"/>
          <w:sz w:val="32"/>
          <w:szCs w:val="32"/>
        </w:rPr>
        <w:t>指数保险工作进展情况，加强对承保机构经营管理的监管，确保承保机构经营业务财务数据真实，资金流向明晰。</w:t>
      </w:r>
    </w:p>
    <w:p>
      <w:pPr>
        <w:pStyle w:val="4"/>
        <w:spacing w:before="156" w:after="156"/>
        <w:ind w:firstLine="643"/>
      </w:pPr>
      <w:bookmarkStart w:id="18" w:name="_Toc5129_WPSOffice_Level1"/>
      <w:bookmarkStart w:id="19" w:name="_Toc5395_WPSOffice_Level1"/>
      <w:r>
        <w:rPr>
          <w:rFonts w:hint="eastAsia" w:ascii="黑体" w:hAnsi="黑体" w:eastAsia="黑体" w:cs="黑体"/>
          <w:b w:val="0"/>
          <w:bCs/>
        </w:rPr>
        <w:t>九、责任追究及处罚</w:t>
      </w:r>
      <w:bookmarkEnd w:id="18"/>
      <w:bookmarkEnd w:id="19"/>
    </w:p>
    <w:p>
      <w:pPr>
        <w:ind w:firstLine="640"/>
        <w:rPr>
          <w:rFonts w:ascii="仿宋" w:hAnsi="仿宋" w:cs="仿宋"/>
          <w:sz w:val="32"/>
          <w:szCs w:val="32"/>
        </w:rPr>
      </w:pPr>
      <w:r>
        <w:rPr>
          <w:rFonts w:hint="eastAsia" w:ascii="仿宋" w:hAnsi="仿宋" w:cs="仿宋"/>
          <w:sz w:val="32"/>
          <w:szCs w:val="32"/>
        </w:rPr>
        <w:t>各有关部门（单位）及人员要各尽其责，因未认真履行职责造成影响</w:t>
      </w:r>
      <w:r>
        <w:rPr>
          <w:rFonts w:hint="eastAsia" w:ascii="仿宋" w:hAnsi="仿宋" w:cs="仿宋"/>
          <w:sz w:val="32"/>
          <w:szCs w:val="32"/>
          <w:lang w:eastAsia="zh-CN"/>
        </w:rPr>
        <w:t>鱼饲料价格</w:t>
      </w:r>
      <w:r>
        <w:rPr>
          <w:rFonts w:hint="eastAsia" w:ascii="仿宋" w:hAnsi="仿宋" w:cs="仿宋"/>
          <w:sz w:val="32"/>
          <w:szCs w:val="32"/>
        </w:rPr>
        <w:t>指数保险工作顺利实施或财政资金流失等后果的，将依法追究有关部门及人员责任。</w:t>
      </w:r>
    </w:p>
    <w:p>
      <w:pPr>
        <w:ind w:firstLine="640"/>
        <w:rPr>
          <w:rFonts w:ascii="仿宋" w:hAnsi="仿宋" w:cs="仿宋"/>
          <w:b/>
          <w:bCs/>
          <w:sz w:val="32"/>
          <w:szCs w:val="32"/>
        </w:rPr>
      </w:pPr>
      <w:r>
        <w:rPr>
          <w:rFonts w:hint="eastAsia" w:ascii="仿宋" w:hAnsi="仿宋" w:cs="仿宋"/>
          <w:sz w:val="32"/>
          <w:szCs w:val="32"/>
        </w:rPr>
        <w:t>农业农村、财政、保险监管部门以及</w:t>
      </w:r>
      <w:r>
        <w:rPr>
          <w:rFonts w:hint="eastAsia" w:ascii="仿宋" w:hAnsi="仿宋" w:cs="仿宋"/>
          <w:sz w:val="32"/>
          <w:szCs w:val="32"/>
          <w:lang w:eastAsia="zh-CN"/>
        </w:rPr>
        <w:t>鱼饲料价格</w:t>
      </w:r>
      <w:r>
        <w:rPr>
          <w:rFonts w:hint="eastAsia" w:ascii="仿宋" w:hAnsi="仿宋" w:cs="仿宋"/>
          <w:sz w:val="32"/>
          <w:szCs w:val="32"/>
        </w:rPr>
        <w:t>指数保险承保机构应加强保费监管、确保专款专用，如发现提供虚假材料骗取保费补贴资金等违规行为，将按《财政违法行为处罚处分条例》（国务院令427号）等国家有关规定严肃处理，违反相关法律的，依法追究法律责任。</w:t>
      </w:r>
    </w:p>
    <w:p>
      <w:pPr>
        <w:pStyle w:val="4"/>
        <w:spacing w:before="156" w:after="156"/>
        <w:ind w:firstLine="643"/>
      </w:pPr>
      <w:bookmarkStart w:id="20" w:name="_Toc5432_WPSOffice_Level1"/>
      <w:bookmarkStart w:id="21" w:name="_Toc339_WPSOffice_Level1"/>
      <w:r>
        <w:rPr>
          <w:rFonts w:hint="eastAsia" w:ascii="黑体" w:hAnsi="黑体" w:eastAsia="黑体" w:cs="黑体"/>
          <w:b w:val="0"/>
          <w:bCs/>
        </w:rPr>
        <w:t>十、保障措施</w:t>
      </w:r>
      <w:bookmarkEnd w:id="20"/>
      <w:bookmarkEnd w:id="21"/>
    </w:p>
    <w:p>
      <w:pPr>
        <w:ind w:firstLine="640"/>
        <w:rPr>
          <w:rFonts w:ascii="仿宋" w:hAnsi="仿宋" w:cs="仿宋"/>
          <w:sz w:val="32"/>
          <w:szCs w:val="32"/>
        </w:rPr>
      </w:pPr>
      <w:r>
        <w:rPr>
          <w:rFonts w:hint="eastAsia" w:ascii="仿宋" w:hAnsi="仿宋" w:cs="仿宋"/>
          <w:sz w:val="32"/>
          <w:szCs w:val="32"/>
        </w:rPr>
        <w:t>（一）市农业农村局为牵头单位，市财政局、市金融局、国金监中山监管分局等部门为成员单位，不定期召开会议研讨推进保险的工作措施，完善政策，落实分工责任。</w:t>
      </w:r>
    </w:p>
    <w:p>
      <w:pPr>
        <w:ind w:firstLine="640"/>
        <w:rPr>
          <w:rFonts w:ascii="仿宋" w:hAnsi="仿宋" w:cs="仿宋"/>
          <w:sz w:val="32"/>
          <w:szCs w:val="32"/>
        </w:rPr>
      </w:pPr>
      <w:r>
        <w:rPr>
          <w:rFonts w:hint="eastAsia" w:ascii="仿宋" w:hAnsi="仿宋" w:cs="仿宋"/>
          <w:sz w:val="32"/>
          <w:szCs w:val="32"/>
        </w:rPr>
        <w:t>（二）承保机构每季度向农业农村主管部门报告工作进度，并由农业农村主管部门定期向各有关单位通报</w:t>
      </w:r>
      <w:r>
        <w:rPr>
          <w:rFonts w:hint="eastAsia" w:ascii="仿宋" w:hAnsi="仿宋" w:cs="仿宋"/>
          <w:sz w:val="32"/>
          <w:szCs w:val="32"/>
          <w:lang w:eastAsia="zh-CN"/>
        </w:rPr>
        <w:t>鱼饲料价格</w:t>
      </w:r>
      <w:r>
        <w:rPr>
          <w:rFonts w:hint="eastAsia" w:ascii="仿宋" w:hAnsi="仿宋" w:cs="仿宋"/>
          <w:sz w:val="32"/>
          <w:szCs w:val="32"/>
        </w:rPr>
        <w:t>指数保险工作开展情况。</w:t>
      </w:r>
    </w:p>
    <w:p>
      <w:pPr>
        <w:ind w:firstLine="640"/>
        <w:rPr>
          <w:rFonts w:ascii="仿宋" w:hAnsi="仿宋" w:cs="仿宋"/>
          <w:sz w:val="32"/>
          <w:szCs w:val="32"/>
        </w:rPr>
      </w:pPr>
      <w:r>
        <w:rPr>
          <w:rFonts w:hint="eastAsia" w:ascii="仿宋" w:hAnsi="仿宋" w:cs="仿宋"/>
          <w:sz w:val="32"/>
          <w:szCs w:val="32"/>
        </w:rPr>
        <w:t>（三）政府及相关部门应对承保机构的</w:t>
      </w:r>
      <w:r>
        <w:rPr>
          <w:rFonts w:hint="eastAsia" w:ascii="仿宋" w:hAnsi="仿宋" w:cs="仿宋"/>
          <w:sz w:val="32"/>
          <w:szCs w:val="32"/>
          <w:lang w:eastAsia="zh-CN"/>
        </w:rPr>
        <w:t>宣传</w:t>
      </w:r>
      <w:r>
        <w:rPr>
          <w:rFonts w:hint="eastAsia" w:ascii="仿宋" w:hAnsi="仿宋" w:cs="仿宋"/>
          <w:sz w:val="32"/>
          <w:szCs w:val="32"/>
        </w:rPr>
        <w:t>、承保、查勘定损、理赔、防灾防损等工作予以积极支持。</w:t>
      </w:r>
    </w:p>
    <w:p>
      <w:pPr>
        <w:pStyle w:val="4"/>
        <w:spacing w:before="156" w:after="156"/>
        <w:ind w:firstLine="643"/>
      </w:pPr>
      <w:r>
        <w:rPr>
          <w:rFonts w:hint="eastAsia" w:ascii="黑体" w:hAnsi="黑体" w:eastAsia="黑体" w:cs="黑体"/>
          <w:b w:val="0"/>
          <w:bCs/>
        </w:rPr>
        <w:t>十一、其他</w:t>
      </w:r>
    </w:p>
    <w:p>
      <w:pPr>
        <w:ind w:firstLine="640"/>
        <w:rPr>
          <w:rFonts w:ascii="仿宋" w:hAnsi="仿宋" w:cs="仿宋"/>
          <w:sz w:val="32"/>
          <w:szCs w:val="32"/>
        </w:rPr>
      </w:pPr>
      <w:r>
        <w:rPr>
          <w:rFonts w:hint="eastAsia" w:ascii="仿宋" w:hAnsi="仿宋" w:cs="仿宋"/>
          <w:sz w:val="32"/>
          <w:szCs w:val="32"/>
        </w:rPr>
        <w:t>本方案在试行期间，可根据实际情况并经论证后进行修改完善。</w:t>
      </w:r>
    </w:p>
    <w:p>
      <w:pPr>
        <w:ind w:firstLine="640"/>
        <w:rPr>
          <w:rFonts w:ascii="仿宋" w:hAnsi="仿宋" w:cs="仿宋"/>
        </w:rPr>
      </w:pPr>
      <w:r>
        <w:rPr>
          <w:rFonts w:hint="eastAsia" w:ascii="仿宋" w:hAnsi="仿宋" w:cs="仿宋"/>
          <w:sz w:val="32"/>
          <w:szCs w:val="32"/>
        </w:rPr>
        <w:t>本方案由中山市农业农村局负责解释。</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0AFF" w:usb1="4000247B" w:usb2="00000001" w:usb3="00000000" w:csb0="200001B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文泉驿等宽微米黑">
    <w:panose1 w:val="020B0606030804020204"/>
    <w:charset w:val="86"/>
    <w:family w:val="auto"/>
    <w:pitch w:val="default"/>
    <w:sig w:usb0="E10002EF" w:usb1="6BDFFCFB" w:usb2="00800036" w:usb3="00000000" w:csb0="603E019F" w:csb1="DFD7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00"/>
    </w:pPr>
    <w:r>
      <mc:AlternateContent>
        <mc:Choice Requires="wps">
          <w:drawing>
            <wp:anchor distT="0" distB="0" distL="114300" distR="114300" simplePos="0" relativeHeight="251659264" behindDoc="1" locked="0" layoutInCell="1" allowOverlap="1">
              <wp:simplePos x="0" y="0"/>
              <wp:positionH relativeFrom="page">
                <wp:posOffset>1017905</wp:posOffset>
              </wp:positionH>
              <wp:positionV relativeFrom="page">
                <wp:posOffset>744855</wp:posOffset>
              </wp:positionV>
              <wp:extent cx="5251450" cy="0"/>
              <wp:effectExtent l="0" t="0" r="0" b="0"/>
              <wp:wrapNone/>
              <wp:docPr id="5" name="Shape 5"/>
              <wp:cNvGraphicFramePr/>
              <a:graphic xmlns:a="http://schemas.openxmlformats.org/drawingml/2006/main">
                <a:graphicData uri="http://schemas.microsoft.com/office/word/2010/wordprocessingShape">
                  <wps:wsp>
                    <wps:cNvCnPr/>
                    <wps:spPr>
                      <a:xfrm>
                        <a:off x="0" y="0"/>
                        <a:ext cx="5251450" cy="0"/>
                      </a:xfrm>
                      <a:prstGeom prst="straightConnector1">
                        <a:avLst/>
                      </a:prstGeom>
                      <a:ln w="12700">
                        <a:solidFill>
                          <a:srgbClr val="FFFFFF"/>
                        </a:solidFill>
                      </a:ln>
                    </wps:spPr>
                    <wps:bodyPr/>
                  </wps:wsp>
                </a:graphicData>
              </a:graphic>
            </wp:anchor>
          </w:drawing>
        </mc:Choice>
        <mc:Fallback>
          <w:pict>
            <v:shape id="Shape 5" o:spid="_x0000_s1026" o:spt="32" type="#_x0000_t32" style="position:absolute;left:0pt;margin-left:80.15pt;margin-top:58.65pt;height:0pt;width:413.5pt;mso-position-horizontal-relative:page;mso-position-vertical-relative:page;z-index:-251657216;mso-width-relative:page;mso-height-relative:page;" filled="f" stroked="t" coordsize="21600,21600" o:gfxdata="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I6gDc7UAAAACwEAAA8AAAAAAAAAAQAgAAAAIgAAAGRycy9kb3ducmV2LnhtbFBL&#10;AQIUABQAAAAIAIdO4kBFKp0TiAEAAAwDAAAOAAAAAAAAAAEAIAAAACMBAABkcnMvZTJvRG9jLnht&#10;bFBLBQYAAAAABgAGAFkBAAAd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jMwZjFmZjRiYjBhZmJiOTFlODYzMTczYWI1MjUifQ=="/>
  </w:docVars>
  <w:rsids>
    <w:rsidRoot w:val="003C2E82"/>
    <w:rsid w:val="00016C41"/>
    <w:rsid w:val="001E5DF6"/>
    <w:rsid w:val="001F0AAB"/>
    <w:rsid w:val="003C2E82"/>
    <w:rsid w:val="00452D3E"/>
    <w:rsid w:val="006771C8"/>
    <w:rsid w:val="00B4583B"/>
    <w:rsid w:val="030642BA"/>
    <w:rsid w:val="04715ADC"/>
    <w:rsid w:val="05A104DA"/>
    <w:rsid w:val="064E1376"/>
    <w:rsid w:val="0A27300F"/>
    <w:rsid w:val="0C422318"/>
    <w:rsid w:val="0F67100C"/>
    <w:rsid w:val="14056916"/>
    <w:rsid w:val="14DB3D08"/>
    <w:rsid w:val="165F63EB"/>
    <w:rsid w:val="17EEEF14"/>
    <w:rsid w:val="18B93BD9"/>
    <w:rsid w:val="1A8D0233"/>
    <w:rsid w:val="1FD501B2"/>
    <w:rsid w:val="1FF21CF3"/>
    <w:rsid w:val="1FFBD1B5"/>
    <w:rsid w:val="206E05F1"/>
    <w:rsid w:val="21920AFE"/>
    <w:rsid w:val="24C45E7D"/>
    <w:rsid w:val="251C25EF"/>
    <w:rsid w:val="253EC756"/>
    <w:rsid w:val="259A20EA"/>
    <w:rsid w:val="25C47BCC"/>
    <w:rsid w:val="2D431C50"/>
    <w:rsid w:val="2E8C482E"/>
    <w:rsid w:val="2EB03128"/>
    <w:rsid w:val="2ED5589C"/>
    <w:rsid w:val="31967ED6"/>
    <w:rsid w:val="33A86DED"/>
    <w:rsid w:val="36441FF3"/>
    <w:rsid w:val="36D76BF2"/>
    <w:rsid w:val="370D2FF7"/>
    <w:rsid w:val="3912676E"/>
    <w:rsid w:val="39FA14C2"/>
    <w:rsid w:val="3D7F04A9"/>
    <w:rsid w:val="3DAD88D5"/>
    <w:rsid w:val="3F510A65"/>
    <w:rsid w:val="40CB2B4D"/>
    <w:rsid w:val="40E17538"/>
    <w:rsid w:val="41CE3688"/>
    <w:rsid w:val="443C45F3"/>
    <w:rsid w:val="4A153F8D"/>
    <w:rsid w:val="4B320471"/>
    <w:rsid w:val="4D9BF336"/>
    <w:rsid w:val="4E845555"/>
    <w:rsid w:val="4F5148E0"/>
    <w:rsid w:val="50971103"/>
    <w:rsid w:val="51D70EFB"/>
    <w:rsid w:val="526A369C"/>
    <w:rsid w:val="52D337B4"/>
    <w:rsid w:val="537075F3"/>
    <w:rsid w:val="53C7324B"/>
    <w:rsid w:val="55B464A8"/>
    <w:rsid w:val="568967AE"/>
    <w:rsid w:val="583E1596"/>
    <w:rsid w:val="593812F0"/>
    <w:rsid w:val="5B5B07B8"/>
    <w:rsid w:val="5CB5BB03"/>
    <w:rsid w:val="5F77B089"/>
    <w:rsid w:val="601C3A55"/>
    <w:rsid w:val="60260230"/>
    <w:rsid w:val="6161043A"/>
    <w:rsid w:val="61886440"/>
    <w:rsid w:val="64E8334D"/>
    <w:rsid w:val="64F91174"/>
    <w:rsid w:val="653765F1"/>
    <w:rsid w:val="656C15DD"/>
    <w:rsid w:val="66BF716F"/>
    <w:rsid w:val="67D90F85"/>
    <w:rsid w:val="68565CBD"/>
    <w:rsid w:val="69EE4354"/>
    <w:rsid w:val="6AFD523C"/>
    <w:rsid w:val="6C84135D"/>
    <w:rsid w:val="6CFFEC86"/>
    <w:rsid w:val="6D4C4718"/>
    <w:rsid w:val="6E7E9377"/>
    <w:rsid w:val="6E8658E6"/>
    <w:rsid w:val="6FC853C4"/>
    <w:rsid w:val="6FD94281"/>
    <w:rsid w:val="6FEFCBAC"/>
    <w:rsid w:val="6FFF7F19"/>
    <w:rsid w:val="754306C1"/>
    <w:rsid w:val="761B3312"/>
    <w:rsid w:val="76EFCEC5"/>
    <w:rsid w:val="78F5EC87"/>
    <w:rsid w:val="7BB56C68"/>
    <w:rsid w:val="7BBE0C37"/>
    <w:rsid w:val="7C193715"/>
    <w:rsid w:val="7CBCB1EB"/>
    <w:rsid w:val="7F9F0A2F"/>
    <w:rsid w:val="7FFFA326"/>
    <w:rsid w:val="7FFFF066"/>
    <w:rsid w:val="9A7CF9E2"/>
    <w:rsid w:val="9BFF6933"/>
    <w:rsid w:val="BDD73169"/>
    <w:rsid w:val="BFB75ECE"/>
    <w:rsid w:val="D5BB1E8B"/>
    <w:rsid w:val="D6B7C570"/>
    <w:rsid w:val="D7B970DA"/>
    <w:rsid w:val="E3BF9BC9"/>
    <w:rsid w:val="E77EA73D"/>
    <w:rsid w:val="EBFF091B"/>
    <w:rsid w:val="F5B5FAD0"/>
    <w:rsid w:val="F7DF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eastAsia="仿宋" w:asciiTheme="minorHAnsi" w:hAnsiTheme="minorHAnsi" w:cstheme="minorBidi"/>
      <w:kern w:val="2"/>
      <w:sz w:val="30"/>
      <w:szCs w:val="24"/>
      <w:lang w:val="en-US" w:eastAsia="zh-CN" w:bidi="ar-SA"/>
    </w:rPr>
  </w:style>
  <w:style w:type="paragraph" w:styleId="4">
    <w:name w:val="heading 1"/>
    <w:basedOn w:val="1"/>
    <w:next w:val="1"/>
    <w:qFormat/>
    <w:uiPriority w:val="0"/>
    <w:pPr>
      <w:keepNext/>
      <w:keepLines/>
      <w:spacing w:before="50" w:beforeLines="50" w:after="50" w:afterLines="50"/>
      <w:ind w:firstLine="880"/>
      <w:jc w:val="left"/>
      <w:outlineLvl w:val="0"/>
    </w:pPr>
    <w:rPr>
      <w:b/>
      <w:kern w:val="44"/>
      <w:sz w:val="32"/>
    </w:rPr>
  </w:style>
  <w:style w:type="paragraph" w:styleId="5">
    <w:name w:val="heading 2"/>
    <w:basedOn w:val="1"/>
    <w:next w:val="6"/>
    <w:qFormat/>
    <w:uiPriority w:val="0"/>
    <w:pPr>
      <w:keepNext/>
      <w:keepLines/>
      <w:spacing w:before="260" w:after="260" w:line="240" w:lineRule="auto"/>
      <w:jc w:val="left"/>
      <w:outlineLvl w:val="1"/>
    </w:pPr>
    <w:rPr>
      <w:rFonts w:ascii="Arial" w:hAnsi="Arial" w:eastAsia="黑体"/>
      <w:b/>
      <w:bCs/>
      <w:szCs w:val="32"/>
    </w:rPr>
  </w:style>
  <w:style w:type="paragraph" w:styleId="7">
    <w:name w:val="heading 3"/>
    <w:basedOn w:val="1"/>
    <w:next w:val="1"/>
    <w:link w:val="22"/>
    <w:unhideWhenUsed/>
    <w:qFormat/>
    <w:uiPriority w:val="0"/>
    <w:pPr>
      <w:keepNext/>
      <w:keepLines/>
      <w:spacing w:before="200" w:after="200"/>
      <w:outlineLvl w:val="2"/>
    </w:pPr>
    <w:rPr>
      <w:rFonts w:eastAsia="黑体"/>
      <w:b/>
      <w:sz w:val="28"/>
    </w:rPr>
  </w:style>
  <w:style w:type="character" w:default="1" w:styleId="16">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next w:val="3"/>
    <w:qFormat/>
    <w:uiPriority w:val="0"/>
    <w:pPr>
      <w:ind w:firstLine="830" w:firstLineChars="352"/>
    </w:pPr>
    <w:rPr>
      <w:rFonts w:ascii="仿宋_GB2312" w:eastAsia="仿宋_GB2312"/>
      <w:sz w:val="32"/>
    </w:rPr>
  </w:style>
  <w:style w:type="paragraph" w:styleId="3">
    <w:name w:val="envelope return"/>
    <w:basedOn w:val="1"/>
    <w:qFormat/>
    <w:uiPriority w:val="0"/>
    <w:pPr>
      <w:snapToGrid w:val="0"/>
    </w:pPr>
    <w:rPr>
      <w:rFonts w:ascii="Arial" w:hAnsi="Arial"/>
    </w:rPr>
  </w:style>
  <w:style w:type="paragraph" w:customStyle="1" w:styleId="6">
    <w:name w:val="Normal Indent1"/>
    <w:basedOn w:val="1"/>
    <w:qFormat/>
    <w:uiPriority w:val="0"/>
    <w:pPr>
      <w:ind w:firstLine="420"/>
    </w:pPr>
  </w:style>
  <w:style w:type="paragraph" w:styleId="8">
    <w:name w:val="Body Text First Indent"/>
    <w:basedOn w:val="1"/>
    <w:next w:val="9"/>
    <w:unhideWhenUsed/>
    <w:qFormat/>
    <w:uiPriority w:val="99"/>
    <w:pPr>
      <w:ind w:firstLine="420" w:firstLineChars="100"/>
    </w:pPr>
  </w:style>
  <w:style w:type="paragraph" w:styleId="9">
    <w:name w:val="Body Text First Indent 2"/>
    <w:basedOn w:val="2"/>
    <w:next w:val="1"/>
    <w:unhideWhenUsed/>
    <w:qFormat/>
    <w:uiPriority w:val="99"/>
    <w:pPr>
      <w:ind w:firstLine="420" w:firstLineChars="200"/>
    </w:pPr>
  </w:style>
  <w:style w:type="paragraph" w:styleId="10">
    <w:name w:val="Body Text"/>
    <w:basedOn w:val="1"/>
    <w:qFormat/>
    <w:uiPriority w:val="0"/>
    <w:pPr>
      <w:ind w:left="171"/>
    </w:pPr>
    <w:rPr>
      <w:rFonts w:ascii="仿宋" w:hAnsi="仿宋" w:cs="仿宋"/>
      <w:sz w:val="32"/>
      <w:szCs w:val="32"/>
      <w:lang w:val="zh-CN"/>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fontstyle01"/>
    <w:basedOn w:val="16"/>
    <w:qFormat/>
    <w:uiPriority w:val="0"/>
    <w:rPr>
      <w:rFonts w:ascii="仿宋_GB2312" w:eastAsia="仿宋_GB2312" w:cs="仿宋_GB2312"/>
      <w:color w:val="000000"/>
      <w:sz w:val="32"/>
      <w:szCs w:val="32"/>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标题 3 Char"/>
    <w:link w:val="7"/>
    <w:qFormat/>
    <w:uiPriority w:val="0"/>
    <w:rPr>
      <w:rFonts w:eastAsia="黑体"/>
      <w:b/>
      <w:sz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Body text|1"/>
    <w:basedOn w:val="1"/>
    <w:qFormat/>
    <w:uiPriority w:val="0"/>
    <w:pPr>
      <w:spacing w:after="140" w:line="343" w:lineRule="auto"/>
      <w:ind w:firstLine="400"/>
    </w:pPr>
    <w:rPr>
      <w:rFonts w:ascii="宋体" w:hAnsi="宋体" w:eastAsia="宋体" w:cs="宋体"/>
      <w:sz w:val="20"/>
      <w:szCs w:val="20"/>
      <w:lang w:val="zh-TW" w:eastAsia="zh-TW" w:bidi="zh-TW"/>
    </w:rPr>
  </w:style>
  <w:style w:type="paragraph" w:customStyle="1" w:styleId="27">
    <w:name w:val="Other|1"/>
    <w:basedOn w:val="1"/>
    <w:qFormat/>
    <w:uiPriority w:val="0"/>
    <w:pPr>
      <w:spacing w:after="140" w:line="343" w:lineRule="auto"/>
      <w:ind w:firstLine="400"/>
    </w:pPr>
    <w:rPr>
      <w:rFonts w:ascii="宋体" w:hAnsi="宋体" w:eastAsia="宋体" w:cs="宋体"/>
      <w:sz w:val="20"/>
      <w:szCs w:val="20"/>
      <w:lang w:val="zh-TW" w:eastAsia="zh-TW" w:bidi="zh-TW"/>
    </w:rPr>
  </w:style>
  <w:style w:type="paragraph" w:customStyle="1" w:styleId="28">
    <w:name w:val="Table caption|1"/>
    <w:basedOn w:val="1"/>
    <w:qFormat/>
    <w:uiPriority w:val="0"/>
    <w:rPr>
      <w:rFonts w:ascii="宋体" w:hAnsi="宋体" w:eastAsia="宋体" w:cs="宋体"/>
      <w:sz w:val="20"/>
      <w:szCs w:val="20"/>
      <w:lang w:val="zh-TW" w:eastAsia="zh-TW" w:bidi="zh-TW"/>
    </w:rPr>
  </w:style>
  <w:style w:type="paragraph" w:customStyle="1" w:styleId="29">
    <w:name w:val="Header or footer|2"/>
    <w:basedOn w:val="1"/>
    <w:qFormat/>
    <w:uiPriority w:val="0"/>
    <w:rPr>
      <w:sz w:val="20"/>
      <w:szCs w:val="20"/>
      <w:lang w:val="zh-TW" w:eastAsia="zh-TW" w:bidi="zh-TW"/>
    </w:rPr>
  </w:style>
  <w:style w:type="paragraph" w:customStyle="1" w:styleId="30">
    <w:name w:val="Header or footer|1"/>
    <w:basedOn w:val="1"/>
    <w:qFormat/>
    <w:uiPriority w:val="0"/>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717</Words>
  <Characters>4089</Characters>
  <Lines>34</Lines>
  <Paragraphs>9</Paragraphs>
  <TotalTime>0</TotalTime>
  <ScaleCrop>false</ScaleCrop>
  <LinksUpToDate>false</LinksUpToDate>
  <CharactersWithSpaces>4797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2022-09-23T16:31:00Z</dcterms:created>
  <dc:creator>CPIC</dc:creator>
  <cp:lastModifiedBy>马相儒</cp:lastModifiedBy>
  <dcterms:modified xsi:type="dcterms:W3CDTF">2024-03-22T03:27:27Z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316BD7924E5B40C4BC93996DB9C64D55_13</vt:lpwstr>
  </property>
</Properties>
</file>