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firstLine="440" w:firstLineChars="100"/>
        <w:jc w:val="both"/>
        <w:textAlignment w:val="auto"/>
        <w:outlineLvl w:val="9"/>
        <w:rPr>
          <w:rFonts w:hint="eastAsia" w:ascii="方正小标宋简体" w:hAnsi="方正小标宋简体" w:eastAsia="方正小标宋简体" w:cs="方正小标宋简体"/>
          <w:b w:val="0"/>
          <w:i w:val="0"/>
          <w:caps w:val="0"/>
          <w:color w:val="000000"/>
          <w:spacing w:val="0"/>
          <w:sz w:val="44"/>
          <w:szCs w:val="44"/>
          <w:shd w:val="clear" w:fill="FFFFFF"/>
        </w:rPr>
      </w:pPr>
      <w:r>
        <w:rPr>
          <w:rFonts w:hint="eastAsia" w:ascii="方正小标宋简体" w:hAnsi="方正小标宋简体" w:eastAsia="方正小标宋简体" w:cs="方正小标宋简体"/>
          <w:b w:val="0"/>
          <w:i w:val="0"/>
          <w:caps w:val="0"/>
          <w:color w:val="000000"/>
          <w:spacing w:val="0"/>
          <w:sz w:val="44"/>
          <w:szCs w:val="44"/>
          <w:shd w:val="clear" w:fill="FFFFFF"/>
          <w:lang w:eastAsia="zh-CN"/>
        </w:rPr>
        <w:t>中山市</w:t>
      </w:r>
      <w:r>
        <w:rPr>
          <w:rFonts w:hint="eastAsia" w:ascii="方正小标宋简体" w:hAnsi="方正小标宋简体" w:eastAsia="方正小标宋简体" w:cs="方正小标宋简体"/>
          <w:b w:val="0"/>
          <w:i w:val="0"/>
          <w:caps w:val="0"/>
          <w:color w:val="000000"/>
          <w:spacing w:val="0"/>
          <w:sz w:val="44"/>
          <w:szCs w:val="44"/>
          <w:shd w:val="clear" w:fill="FFFFFF"/>
        </w:rPr>
        <w:t>医疗保障局行政处罚</w:t>
      </w:r>
      <w:r>
        <w:rPr>
          <w:rFonts w:hint="eastAsia" w:ascii="方正小标宋简体" w:hAnsi="方正小标宋简体" w:eastAsia="方正小标宋简体" w:cs="方正小标宋简体"/>
          <w:b w:val="0"/>
          <w:i w:val="0"/>
          <w:caps w:val="0"/>
          <w:color w:val="000000"/>
          <w:spacing w:val="0"/>
          <w:sz w:val="44"/>
          <w:szCs w:val="44"/>
          <w:shd w:val="clear" w:fill="FFFFFF"/>
          <w:lang w:val="en-US" w:eastAsia="zh-CN"/>
        </w:rPr>
        <w:t>裁量权实施办法</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jc w:val="center"/>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征求意见稿）</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b w:val="0"/>
          <w:bCs w:val="0"/>
          <w:color w:val="auto"/>
          <w:sz w:val="32"/>
          <w:szCs w:val="32"/>
        </w:rPr>
        <w:t xml:space="preserve"> 为规范行政执法行为，保障</w:t>
      </w:r>
      <w:r>
        <w:rPr>
          <w:rFonts w:hint="eastAsia" w:ascii="仿宋_GB2312" w:hAnsi="仿宋_GB2312" w:eastAsia="仿宋_GB2312" w:cs="仿宋_GB2312"/>
          <w:b w:val="0"/>
          <w:bCs w:val="0"/>
          <w:color w:val="auto"/>
          <w:sz w:val="32"/>
          <w:szCs w:val="32"/>
          <w:lang w:eastAsia="zh-CN"/>
        </w:rPr>
        <w:t>本市</w:t>
      </w:r>
      <w:r>
        <w:rPr>
          <w:rFonts w:hint="eastAsia" w:ascii="仿宋_GB2312" w:hAnsi="仿宋_GB2312" w:eastAsia="仿宋_GB2312" w:cs="仿宋_GB2312"/>
          <w:b w:val="0"/>
          <w:bCs w:val="0"/>
          <w:color w:val="auto"/>
          <w:sz w:val="32"/>
          <w:szCs w:val="32"/>
        </w:rPr>
        <w:t>医疗保障行政部门合法、合理地行使行政处罚裁量权，保护公民、法人和其他组织的合法权益，根据《中华人民共和国行政处罚法》《广东省规范行政处罚自由裁量权规定》</w:t>
      </w:r>
      <w:r>
        <w:rPr>
          <w:rFonts w:hint="eastAsia" w:ascii="仿宋_GB2312" w:hAnsi="仿宋_GB2312" w:eastAsia="仿宋_GB2312" w:cs="仿宋_GB2312"/>
          <w:b w:val="0"/>
          <w:bCs w:val="0"/>
          <w:i w:val="0"/>
          <w:iCs w:val="0"/>
          <w:caps w:val="0"/>
          <w:color w:val="000000"/>
          <w:spacing w:val="0"/>
          <w:sz w:val="32"/>
          <w:szCs w:val="32"/>
          <w:lang w:val="en-US" w:eastAsia="zh-CN"/>
        </w:rPr>
        <w:t>《医疗保障行政处罚程序暂行规定》《规范医疗保障基金使用监督管理行政处罚裁量权办法》</w:t>
      </w:r>
      <w:r>
        <w:rPr>
          <w:rFonts w:hint="eastAsia" w:ascii="仿宋_GB2312" w:hAnsi="仿宋_GB2312" w:eastAsia="仿宋_GB2312" w:cs="仿宋_GB2312"/>
          <w:b w:val="0"/>
          <w:bCs w:val="0"/>
          <w:color w:val="auto"/>
          <w:sz w:val="32"/>
          <w:szCs w:val="32"/>
        </w:rPr>
        <w:t>等法律、法规、规章的有关规定，结合医疗保障执法实际，特制定本</w:t>
      </w:r>
      <w:r>
        <w:rPr>
          <w:rFonts w:hint="eastAsia" w:ascii="仿宋_GB2312" w:hAnsi="仿宋_GB2312" w:eastAsia="仿宋_GB2312" w:cs="仿宋_GB2312"/>
          <w:b w:val="0"/>
          <w:bCs w:val="0"/>
          <w:color w:val="auto"/>
          <w:sz w:val="32"/>
          <w:szCs w:val="32"/>
          <w:lang w:val="en-US" w:eastAsia="zh-CN"/>
        </w:rPr>
        <w:t>办法</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b w:val="0"/>
          <w:bCs w:val="0"/>
          <w:color w:val="auto"/>
          <w:sz w:val="32"/>
          <w:szCs w:val="32"/>
        </w:rPr>
        <w:t xml:space="preserve"> 本</w:t>
      </w:r>
      <w:r>
        <w:rPr>
          <w:rFonts w:hint="eastAsia" w:ascii="仿宋_GB2312" w:hAnsi="仿宋_GB2312" w:eastAsia="仿宋_GB2312" w:cs="仿宋_GB2312"/>
          <w:b w:val="0"/>
          <w:bCs w:val="0"/>
          <w:color w:val="auto"/>
          <w:sz w:val="32"/>
          <w:szCs w:val="32"/>
          <w:lang w:val="en-US" w:eastAsia="zh-CN"/>
        </w:rPr>
        <w:t>办法</w:t>
      </w:r>
      <w:r>
        <w:rPr>
          <w:rFonts w:hint="eastAsia" w:ascii="仿宋_GB2312" w:hAnsi="仿宋_GB2312" w:eastAsia="仿宋_GB2312" w:cs="仿宋_GB2312"/>
          <w:b w:val="0"/>
          <w:bCs w:val="0"/>
          <w:color w:val="auto"/>
          <w:sz w:val="32"/>
          <w:szCs w:val="32"/>
        </w:rPr>
        <w:t>所称行政处罚裁量权，是指本市医疗保障行政部门在实施行政处罚时，在法律、法规、规章规定的处罚种类、处罚幅度内，综合考虑违法行为的性质、情节、社会危害程度、违法后果和改正措施等因素，依法确定是否给予行政处罚、给予何种处罚以及处罚幅度的选择适用权限。</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b w:val="0"/>
          <w:bCs w:val="0"/>
          <w:color w:val="auto"/>
          <w:sz w:val="32"/>
          <w:szCs w:val="32"/>
        </w:rPr>
        <w:t xml:space="preserve"> 本市医疗保障行政部门在实施医疗保障行政处罚时适用本</w:t>
      </w:r>
      <w:r>
        <w:rPr>
          <w:rFonts w:hint="eastAsia" w:ascii="仿宋_GB2312" w:hAnsi="仿宋_GB2312" w:eastAsia="仿宋_GB2312" w:cs="仿宋_GB2312"/>
          <w:b w:val="0"/>
          <w:bCs w:val="0"/>
          <w:color w:val="auto"/>
          <w:sz w:val="32"/>
          <w:szCs w:val="32"/>
          <w:lang w:val="en-US" w:eastAsia="zh-CN"/>
        </w:rPr>
        <w:t>办法</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b w:val="0"/>
          <w:bCs w:val="0"/>
          <w:color w:val="auto"/>
          <w:sz w:val="32"/>
          <w:szCs w:val="32"/>
        </w:rPr>
        <w:t xml:space="preserve"> 行使行政处罚裁量权，应当以事实为依据，以法律为准绳，遵循公正、公开及过罚相当和处罚与教育相结合原则，依法维护公民、法人和其他组织的合法权益，确保行政处罚裁量权行使的合法性、合理性。</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 xml:space="preserve">第五条 </w:t>
      </w:r>
      <w:r>
        <w:rPr>
          <w:rFonts w:hint="eastAsia" w:ascii="仿宋_GB2312" w:hAnsi="仿宋_GB2312" w:eastAsia="仿宋_GB2312" w:cs="仿宋_GB2312"/>
          <w:b w:val="0"/>
          <w:bCs w:val="0"/>
          <w:color w:val="auto"/>
          <w:sz w:val="32"/>
          <w:szCs w:val="32"/>
        </w:rPr>
        <w:t>实施行政处罚，必须遵循综合裁量原则，全面分析违法行为的主体、客体、主观方面、客观方面等因素，对违法行为处罚与否以及处罚的种类、幅度进行判断，并作出相应的处理决定。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对于性质相同、情节相近、危害后果基本相当的违法行为，在实施行政处罚行使裁量权时，适用的法律依据、处罚种类及处罚幅度应当基本相同。</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行政相对人实施违反医疗保障法律、法规、规章的行为，并具有下列情形之一的，不予处罚：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（一）未满14周岁</w:t>
      </w:r>
      <w:r>
        <w:rPr>
          <w:rFonts w:hint="eastAsia" w:ascii="仿宋_GB2312" w:hAnsi="仿宋_GB2312" w:eastAsia="仿宋_GB2312" w:cs="仿宋_GB2312"/>
          <w:b w:val="0"/>
          <w:bCs w:val="0"/>
          <w:color w:val="auto"/>
          <w:sz w:val="32"/>
          <w:szCs w:val="32"/>
          <w:lang w:val="en-US" w:eastAsia="zh-CN"/>
        </w:rPr>
        <w:t>,</w:t>
      </w:r>
      <w:r>
        <w:rPr>
          <w:rFonts w:ascii="仿宋_GB2312" w:hAnsi="仿宋_GB2312" w:eastAsia="仿宋_GB2312" w:cs="仿宋_GB2312"/>
          <w:b w:val="0"/>
          <w:bCs w:val="0"/>
          <w:sz w:val="32"/>
          <w:szCs w:val="32"/>
        </w:rPr>
        <w:t>责令监护人加以管教</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（二）精神病人、智力残疾人在不能辨认或不能控制自己行为时实施违法行为的</w:t>
      </w:r>
      <w:r>
        <w:rPr>
          <w:rFonts w:hint="eastAsia" w:ascii="仿宋_GB2312" w:hAnsi="仿宋_GB2312" w:eastAsia="仿宋_GB2312" w:cs="仿宋_GB2312"/>
          <w:b w:val="0"/>
          <w:bCs w:val="0"/>
          <w:color w:val="auto"/>
          <w:sz w:val="32"/>
          <w:szCs w:val="32"/>
          <w:lang w:val="en-US" w:eastAsia="zh-CN"/>
        </w:rPr>
        <w:t>,</w:t>
      </w:r>
      <w:r>
        <w:rPr>
          <w:rFonts w:ascii="仿宋_GB2312" w:hAnsi="仿宋_GB2312" w:eastAsia="仿宋_GB2312" w:cs="仿宋_GB2312"/>
          <w:b w:val="0"/>
          <w:bCs w:val="0"/>
          <w:sz w:val="32"/>
          <w:szCs w:val="32"/>
        </w:rPr>
        <w:t>责令其监护人严加看管和治疗</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（三）违法行为轻微并及时纠正，没有造成危害后果的；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（四）当事人有证据足以证明没有主观过错的，但法律、行政法规另有规定的，从其规定；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（五）法律、法规、规章规定不予处罚的其他情形。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ascii="仿宋_GB2312" w:hAnsi="仿宋_GB2312" w:eastAsia="仿宋_GB2312" w:cs="仿宋_GB2312"/>
          <w:b w:val="0"/>
          <w:bCs w:val="0"/>
          <w:sz w:val="32"/>
          <w:szCs w:val="32"/>
        </w:rPr>
        <w:t>对当事人的违法行为依法不予行政处罚的，</w:t>
      </w:r>
      <w:r>
        <w:rPr>
          <w:rFonts w:hint="eastAsia" w:ascii="仿宋_GB2312" w:hAnsi="仿宋_GB2312" w:eastAsia="仿宋_GB2312" w:cs="仿宋_GB2312"/>
          <w:b w:val="0"/>
          <w:bCs w:val="0"/>
          <w:sz w:val="32"/>
          <w:szCs w:val="32"/>
          <w:lang w:eastAsia="zh-CN"/>
        </w:rPr>
        <w:t>医疗保障行政部门</w:t>
      </w:r>
      <w:r>
        <w:rPr>
          <w:rFonts w:ascii="仿宋_GB2312" w:hAnsi="仿宋_GB2312" w:eastAsia="仿宋_GB2312" w:cs="仿宋_GB2312"/>
          <w:b w:val="0"/>
          <w:bCs w:val="0"/>
          <w:sz w:val="32"/>
          <w:szCs w:val="32"/>
        </w:rPr>
        <w:t>应当对当事人进行教育。</w:t>
      </w:r>
    </w:p>
    <w:p>
      <w:pPr>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eastAsia="zh-CN"/>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auto"/>
          <w:sz w:val="32"/>
          <w:szCs w:val="32"/>
        </w:rPr>
        <w:t>行政相对人实施违反医疗保障法律、法规、规章的行为在2年内未被发现的，不再给予行政处罚。法律另有规定的除外。</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行政相对人实施违反医疗保障法律、法规、规章的行为，并具有下列情形之一的，应当依法从轻或者减轻处罚：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（一）已满14周岁不满18周岁的；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（二）主动消除或者减轻违法行为危害后果的；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（三）受他人胁迫或者诱骗的；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（四）主动供述医疗保障行政部门尚未掌握的违法行为的；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（五）配合医疗保障行政部门查处违法行为有立功表现的；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在共同违法行为中起次要或辅助作用的；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七</w:t>
      </w:r>
      <w:r>
        <w:rPr>
          <w:rFonts w:hint="eastAsia" w:ascii="仿宋_GB2312" w:hAnsi="仿宋_GB2312" w:eastAsia="仿宋_GB2312" w:cs="仿宋_GB2312"/>
          <w:b w:val="0"/>
          <w:bCs w:val="0"/>
          <w:color w:val="auto"/>
          <w:sz w:val="32"/>
          <w:szCs w:val="32"/>
        </w:rPr>
        <w:t>）法律、法规、规章规定应当从轻或者减轻处罚的其他情形。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eastAsia" w:ascii="仿宋_GB2312" w:hAnsi="仿宋_GB2312" w:eastAsia="仿宋_GB2312" w:cs="仿宋_GB2312"/>
          <w:color w:val="000000"/>
          <w:sz w:val="32"/>
          <w:szCs w:val="32"/>
          <w:shd w:val="clear" w:fill="FFFFFF"/>
        </w:rPr>
      </w:pPr>
      <w:r>
        <w:rPr>
          <w:rFonts w:hint="eastAsia" w:ascii="仿宋_GB2312" w:hAnsi="仿宋_GB2312" w:eastAsia="仿宋_GB2312" w:cs="仿宋_GB2312"/>
          <w:b/>
          <w:bCs/>
          <w:color w:val="auto"/>
          <w:kern w:val="0"/>
          <w:sz w:val="32"/>
          <w:szCs w:val="32"/>
          <w:lang w:val="en-US" w:eastAsia="zh-CN" w:bidi="ar-SA"/>
        </w:rPr>
        <w:t>第九条</w:t>
      </w:r>
      <w:r>
        <w:rPr>
          <w:rFonts w:hint="eastAsia" w:ascii="仿宋_GB2312" w:hAnsi="仿宋_GB2312" w:eastAsia="仿宋_GB2312" w:cs="仿宋_GB2312"/>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有下列情形之一的，医疗保障行政部门可以从轻或减轻处罚：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eastAsia" w:ascii="仿宋_GB2312" w:hAnsi="仿宋_GB2312" w:eastAsia="仿宋_GB2312" w:cs="仿宋_GB2312"/>
          <w:color w:val="000000"/>
          <w:sz w:val="32"/>
          <w:szCs w:val="32"/>
          <w:shd w:val="clear" w:fill="FFFFFF"/>
        </w:rPr>
      </w:pPr>
      <w:r>
        <w:rPr>
          <w:rFonts w:hint="eastAsia" w:ascii="仿宋_GB2312" w:hAnsi="仿宋_GB2312" w:eastAsia="仿宋_GB2312" w:cs="仿宋_GB2312"/>
          <w:color w:val="000000"/>
          <w:sz w:val="32"/>
          <w:szCs w:val="32"/>
          <w:shd w:val="clear" w:fill="FFFFFF"/>
        </w:rPr>
        <w:t>(一)尚未完全丧失辨认或者控制自己行为能力的精神病人、智力残疾人有违法行为的;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eastAsia" w:ascii="仿宋_GB2312" w:hAnsi="仿宋_GB2312" w:eastAsia="仿宋_GB2312" w:cs="仿宋_GB2312"/>
          <w:color w:val="000000"/>
          <w:sz w:val="32"/>
          <w:szCs w:val="32"/>
          <w:shd w:val="clear" w:fill="FFFFFF"/>
        </w:rPr>
      </w:pPr>
      <w:r>
        <w:rPr>
          <w:rFonts w:hint="eastAsia" w:ascii="仿宋_GB2312" w:hAnsi="仿宋_GB2312" w:eastAsia="仿宋_GB2312" w:cs="仿宋_GB2312"/>
          <w:color w:val="000000"/>
          <w:sz w:val="32"/>
          <w:szCs w:val="32"/>
          <w:shd w:val="clear" w:fill="FFFFFF"/>
        </w:rPr>
        <w:t>(二)初次违法且危害后果轻微并及时改正的;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eastAsia" w:ascii="仿宋_GB2312" w:hAnsi="仿宋_GB2312" w:eastAsia="仿宋_GB2312" w:cs="仿宋_GB2312"/>
          <w:color w:val="000000"/>
          <w:sz w:val="32"/>
          <w:szCs w:val="32"/>
          <w:shd w:val="clear" w:fill="FFFFFF"/>
        </w:rPr>
      </w:pPr>
      <w:r>
        <w:rPr>
          <w:rFonts w:hint="eastAsia" w:ascii="仿宋_GB2312" w:hAnsi="仿宋_GB2312" w:eastAsia="仿宋_GB2312" w:cs="仿宋_GB2312"/>
          <w:color w:val="000000"/>
          <w:sz w:val="32"/>
          <w:szCs w:val="32"/>
          <w:shd w:val="clear" w:fill="FFFFFF"/>
        </w:rPr>
        <w:t>(三)法律、法规、规章规定可以从轻或减轻处罚的其他情形。</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行政相对人实施违反医疗保障法律、法规、规章的行为，并具有下列情形之一的，应当从重处罚：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（一）扰乱公共秩序，妨害公共安全，侵犯人身权利、财产权利，妨害社会管理，情节严重，尚未构成犯罪的；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（二）经责令改正拒不改正的；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（三）1年内实施3次以上违法行为的；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故意转移、隐匿、毁坏或者伪造证据的；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（五）对举报投诉人、证人打击报复的；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（六）共同违法行为中起主要作用或者教唆、胁迫、诱骗他人实施违法行为的；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（七）妨碍、阻挠或者抗拒执法人员依法调查、处理其违法行为的；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（八）法律、法规、规章规定应当从重处罚的其他情形。</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第八条、第九条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第十条</w:t>
      </w:r>
      <w:r>
        <w:rPr>
          <w:rFonts w:hint="eastAsia" w:ascii="仿宋_GB2312" w:hAnsi="仿宋_GB2312" w:eastAsia="仿宋_GB2312" w:cs="仿宋_GB2312"/>
          <w:b w:val="0"/>
          <w:bCs w:val="0"/>
          <w:color w:val="auto"/>
          <w:sz w:val="32"/>
          <w:szCs w:val="32"/>
        </w:rPr>
        <w:t>是对违法行为实施行政处罚时考量其从轻、从重的共性因素。涉及到每一个具体违法行为时，应从其主要因素进行考量，科学划分具体标准。具体标准见《</w:t>
      </w:r>
      <w:r>
        <w:rPr>
          <w:rFonts w:hint="eastAsia" w:ascii="仿宋_GB2312" w:hAnsi="仿宋_GB2312" w:eastAsia="仿宋_GB2312" w:cs="仿宋_GB2312"/>
          <w:b w:val="0"/>
          <w:bCs w:val="0"/>
          <w:color w:val="auto"/>
          <w:sz w:val="32"/>
          <w:szCs w:val="32"/>
          <w:lang w:eastAsia="zh-CN"/>
        </w:rPr>
        <w:t>中山市</w:t>
      </w:r>
      <w:r>
        <w:rPr>
          <w:rFonts w:hint="eastAsia" w:ascii="仿宋_GB2312" w:hAnsi="仿宋_GB2312" w:eastAsia="仿宋_GB2312" w:cs="仿宋_GB2312"/>
          <w:b w:val="0"/>
          <w:bCs w:val="0"/>
          <w:color w:val="auto"/>
          <w:sz w:val="32"/>
          <w:szCs w:val="32"/>
        </w:rPr>
        <w:t>医疗保障局行政处罚裁量实施标准》。</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违法行为人有法定从轻、从重情节的，均应当在法定处罚幅度范围内确定处罚；违法行为人有法定减轻情节的，应当在法定处罚幅度范围以下降格确定处罚。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罚款为一定金额的倍数的，从轻处罚应当低于中间倍数，从重处罚不得低于中间倍数；罚款为一定幅度的数额的，从轻处罚应当低于平均值，从重处罚不得低于最高罚款数额与最低罚款数额的平均值。</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同时具有两个或两个以上从重情节且不具有从轻情节的，应当按最高处罚幅度实施处罚；同时具有两个或两个以上从轻情节</w:t>
      </w:r>
      <w:bookmarkStart w:id="0" w:name="_GoBack"/>
      <w:bookmarkEnd w:id="0"/>
      <w:r>
        <w:rPr>
          <w:rFonts w:hint="eastAsia" w:ascii="仿宋_GB2312" w:hAnsi="仿宋_GB2312" w:eastAsia="仿宋_GB2312" w:cs="仿宋_GB2312"/>
          <w:b w:val="0"/>
          <w:bCs w:val="0"/>
          <w:color w:val="auto"/>
          <w:sz w:val="32"/>
          <w:szCs w:val="32"/>
        </w:rPr>
        <w:t>且不具有从重情节的，应当按最低处罚幅度实施处罚；同时具有从重、从轻情节的，应当综合考虑，根据主要情节实施处罚。</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医疗保障行政部门在行使行政处罚裁量权</w:t>
      </w:r>
      <w:r>
        <w:rPr>
          <w:rFonts w:hint="eastAsia" w:ascii="仿宋_GB2312" w:hAnsi="仿宋_GB2312" w:eastAsia="仿宋_GB2312" w:cs="仿宋_GB2312"/>
          <w:b w:val="0"/>
          <w:bCs w:val="0"/>
          <w:color w:val="auto"/>
          <w:sz w:val="32"/>
          <w:szCs w:val="32"/>
          <w:lang w:eastAsia="zh-CN"/>
        </w:rPr>
        <w:t>时</w:t>
      </w:r>
      <w:r>
        <w:rPr>
          <w:rFonts w:hint="eastAsia" w:ascii="仿宋_GB2312" w:hAnsi="仿宋_GB2312" w:eastAsia="仿宋_GB2312" w:cs="仿宋_GB2312"/>
          <w:b w:val="0"/>
          <w:bCs w:val="0"/>
          <w:color w:val="auto"/>
          <w:sz w:val="32"/>
          <w:szCs w:val="32"/>
        </w:rPr>
        <w:t>，应当在处罚决定中说明理由，载明包括本单位实施标准在内的给予具体行政处罚的依据。　　</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拟做出依法不予处罚或者减轻处罚的案件，应当经过市局负责人集体讨论决定。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集体讨论情况应予以记录，并随案归档。</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违法行为涉嫌构成刑事犯罪的，应当按照规定程序移送司法机关，不得以行政处罚代替刑事责任。</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本</w:t>
      </w:r>
      <w:r>
        <w:rPr>
          <w:rFonts w:hint="eastAsia" w:ascii="仿宋_GB2312" w:hAnsi="仿宋_GB2312" w:eastAsia="仿宋_GB2312" w:cs="仿宋_GB2312"/>
          <w:b w:val="0"/>
          <w:bCs w:val="0"/>
          <w:color w:val="auto"/>
          <w:sz w:val="32"/>
          <w:szCs w:val="32"/>
          <w:lang w:val="en-US" w:eastAsia="zh-CN"/>
        </w:rPr>
        <w:t>办法</w:t>
      </w:r>
      <w:r>
        <w:rPr>
          <w:rFonts w:hint="eastAsia" w:ascii="仿宋_GB2312" w:hAnsi="仿宋_GB2312" w:eastAsia="仿宋_GB2312" w:cs="仿宋_GB2312"/>
          <w:b w:val="0"/>
          <w:bCs w:val="0"/>
          <w:color w:val="auto"/>
          <w:sz w:val="32"/>
          <w:szCs w:val="32"/>
        </w:rPr>
        <w:t>中的《</w:t>
      </w:r>
      <w:r>
        <w:rPr>
          <w:rFonts w:hint="eastAsia" w:ascii="仿宋_GB2312" w:hAnsi="仿宋_GB2312" w:eastAsia="仿宋_GB2312" w:cs="仿宋_GB2312"/>
          <w:b w:val="0"/>
          <w:bCs w:val="0"/>
          <w:color w:val="auto"/>
          <w:sz w:val="32"/>
          <w:szCs w:val="32"/>
          <w:lang w:eastAsia="zh-CN"/>
        </w:rPr>
        <w:t>中山市</w:t>
      </w:r>
      <w:r>
        <w:rPr>
          <w:rFonts w:hint="eastAsia" w:ascii="仿宋_GB2312" w:hAnsi="仿宋_GB2312" w:eastAsia="仿宋_GB2312" w:cs="仿宋_GB2312"/>
          <w:b w:val="0"/>
          <w:bCs w:val="0"/>
          <w:color w:val="auto"/>
          <w:sz w:val="32"/>
          <w:szCs w:val="32"/>
        </w:rPr>
        <w:t>医疗保障局行政处罚裁量实施标准》所称的“以上”包括本数，“以下”、“低于”不包括本数。</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本</w:t>
      </w:r>
      <w:r>
        <w:rPr>
          <w:rFonts w:hint="eastAsia" w:ascii="仿宋_GB2312" w:hAnsi="仿宋_GB2312" w:eastAsia="仿宋_GB2312" w:cs="仿宋_GB2312"/>
          <w:b w:val="0"/>
          <w:bCs w:val="0"/>
          <w:color w:val="auto"/>
          <w:sz w:val="32"/>
          <w:szCs w:val="32"/>
          <w:lang w:val="en-US" w:eastAsia="zh-CN"/>
        </w:rPr>
        <w:t>办法</w:t>
      </w:r>
      <w:r>
        <w:rPr>
          <w:rFonts w:hint="eastAsia" w:ascii="仿宋_GB2312" w:hAnsi="仿宋_GB2312" w:eastAsia="仿宋_GB2312" w:cs="仿宋_GB2312"/>
          <w:b w:val="0"/>
          <w:bCs w:val="0"/>
          <w:color w:val="auto"/>
          <w:sz w:val="32"/>
          <w:szCs w:val="32"/>
        </w:rPr>
        <w:t>由</w:t>
      </w:r>
      <w:r>
        <w:rPr>
          <w:rFonts w:hint="eastAsia" w:ascii="仿宋_GB2312" w:hAnsi="仿宋_GB2312" w:eastAsia="仿宋_GB2312" w:cs="仿宋_GB2312"/>
          <w:b w:val="0"/>
          <w:bCs w:val="0"/>
          <w:color w:val="auto"/>
          <w:sz w:val="32"/>
          <w:szCs w:val="32"/>
          <w:lang w:eastAsia="zh-CN"/>
        </w:rPr>
        <w:t>中山市</w:t>
      </w:r>
      <w:r>
        <w:rPr>
          <w:rFonts w:hint="eastAsia" w:ascii="仿宋_GB2312" w:hAnsi="仿宋_GB2312" w:eastAsia="仿宋_GB2312" w:cs="仿宋_GB2312"/>
          <w:b w:val="0"/>
          <w:bCs w:val="0"/>
          <w:color w:val="auto"/>
          <w:sz w:val="32"/>
          <w:szCs w:val="32"/>
        </w:rPr>
        <w:t>医疗保障局负责解释。</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中山市</w:t>
      </w:r>
      <w:r>
        <w:rPr>
          <w:rFonts w:hint="eastAsia" w:ascii="仿宋_GB2312" w:hAnsi="仿宋_GB2312" w:eastAsia="仿宋_GB2312" w:cs="仿宋_GB2312"/>
          <w:b w:val="0"/>
          <w:bCs w:val="0"/>
          <w:color w:val="auto"/>
          <w:sz w:val="32"/>
          <w:szCs w:val="32"/>
        </w:rPr>
        <w:t>医疗保障局行政处罚裁量实施标准》</w:t>
      </w:r>
      <w:r>
        <w:rPr>
          <w:rFonts w:hint="eastAsia" w:ascii="仿宋_GB2312" w:hAnsi="仿宋_GB2312" w:eastAsia="仿宋_GB2312" w:cs="仿宋_GB2312"/>
          <w:b w:val="0"/>
          <w:bCs w:val="0"/>
          <w:color w:val="auto"/>
          <w:sz w:val="32"/>
          <w:szCs w:val="32"/>
          <w:lang w:eastAsia="zh-CN"/>
        </w:rPr>
        <w:t>中的具体裁量标准，若</w:t>
      </w:r>
      <w:r>
        <w:rPr>
          <w:rFonts w:hint="eastAsia" w:ascii="仿宋_GB2312" w:hAnsi="仿宋_GB2312" w:eastAsia="仿宋_GB2312" w:cs="仿宋_GB2312"/>
          <w:b w:val="0"/>
          <w:bCs w:val="0"/>
          <w:color w:val="auto"/>
          <w:sz w:val="32"/>
          <w:szCs w:val="32"/>
        </w:rPr>
        <w:t>国家、省另行出台标准，以上级部门制定的实施标准为准。</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rPr>
        <w:t xml:space="preserve"> 本</w:t>
      </w:r>
      <w:r>
        <w:rPr>
          <w:rFonts w:hint="eastAsia" w:ascii="仿宋_GB2312" w:hAnsi="仿宋_GB2312" w:eastAsia="仿宋_GB2312" w:cs="仿宋_GB2312"/>
          <w:b w:val="0"/>
          <w:bCs w:val="0"/>
          <w:color w:val="auto"/>
          <w:sz w:val="32"/>
          <w:szCs w:val="32"/>
          <w:lang w:val="en-US" w:eastAsia="zh-CN"/>
        </w:rPr>
        <w:t>办法</w:t>
      </w:r>
      <w:r>
        <w:rPr>
          <w:rFonts w:hint="eastAsia" w:ascii="仿宋_GB2312" w:hAnsi="仿宋_GB2312" w:eastAsia="仿宋_GB2312" w:cs="仿宋_GB2312"/>
          <w:b w:val="0"/>
          <w:bCs w:val="0"/>
          <w:color w:val="auto"/>
          <w:sz w:val="32"/>
          <w:szCs w:val="32"/>
        </w:rPr>
        <w:t>自发布之日起实施。</w:t>
      </w:r>
    </w:p>
    <w:p>
      <w:pPr>
        <w:pStyle w:val="2"/>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sectPr>
          <w:footerReference r:id="rId5" w:type="default"/>
          <w:pgSz w:w="11906" w:h="16838"/>
          <w:pgMar w:top="2098" w:right="1474" w:bottom="1984" w:left="1587" w:header="851" w:footer="1417" w:gutter="0"/>
          <w:pgNumType w:fmt="decimal"/>
          <w:cols w:space="0" w:num="1"/>
          <w:titlePg/>
          <w:rtlGutter w:val="0"/>
          <w:docGrid w:type="lines" w:linePitch="312" w:charSpace="0"/>
        </w:sectPr>
      </w:pPr>
    </w:p>
    <w:p>
      <w:pPr>
        <w:autoSpaceDE w:val="0"/>
        <w:autoSpaceDN w:val="0"/>
        <w:spacing w:line="300" w:lineRule="auto"/>
        <w:ind w:right="220" w:rightChars="100"/>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p>
    <w:p>
      <w:pPr>
        <w:autoSpaceDE w:val="0"/>
        <w:autoSpaceDN w:val="0"/>
        <w:spacing w:line="300" w:lineRule="auto"/>
        <w:ind w:right="220" w:rightChars="100"/>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中山市</w:t>
      </w:r>
      <w:r>
        <w:rPr>
          <w:rFonts w:hint="eastAsia" w:ascii="方正小标宋简体" w:hAnsi="方正小标宋简体" w:eastAsia="方正小标宋简体" w:cs="方正小标宋简体"/>
          <w:kern w:val="0"/>
          <w:sz w:val="44"/>
          <w:szCs w:val="44"/>
        </w:rPr>
        <w:t>医疗保障局行政处罚裁量实施标准</w:t>
      </w:r>
    </w:p>
    <w:tbl>
      <w:tblPr>
        <w:tblStyle w:val="5"/>
        <w:tblpPr w:leftFromText="180" w:rightFromText="180" w:vertAnchor="text" w:horzAnchor="page" w:tblpX="1013" w:tblpY="28"/>
        <w:tblOverlap w:val="never"/>
        <w:tblW w:w="21088" w:type="dxa"/>
        <w:tblInd w:w="0" w:type="dxa"/>
        <w:tblLayout w:type="fixed"/>
        <w:tblCellMar>
          <w:top w:w="0" w:type="dxa"/>
          <w:left w:w="108" w:type="dxa"/>
          <w:bottom w:w="0" w:type="dxa"/>
          <w:right w:w="108" w:type="dxa"/>
        </w:tblCellMar>
      </w:tblPr>
      <w:tblGrid>
        <w:gridCol w:w="488"/>
        <w:gridCol w:w="4337"/>
        <w:gridCol w:w="2385"/>
        <w:gridCol w:w="3840"/>
        <w:gridCol w:w="4230"/>
        <w:gridCol w:w="3855"/>
        <w:gridCol w:w="1953"/>
      </w:tblGrid>
      <w:tr>
        <w:tblPrEx>
          <w:tblCellMar>
            <w:top w:w="0" w:type="dxa"/>
            <w:left w:w="108" w:type="dxa"/>
            <w:bottom w:w="0" w:type="dxa"/>
            <w:right w:w="108" w:type="dxa"/>
          </w:tblCellMar>
        </w:tblPrEx>
        <w:trPr>
          <w:trHeight w:val="540" w:hRule="atLeast"/>
          <w:tblHeader/>
        </w:trPr>
        <w:tc>
          <w:tcPr>
            <w:tcW w:w="488"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433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ascii="宋体" w:hAnsi="宋体" w:cs="宋体"/>
                <w:b/>
                <w:bCs/>
                <w:color w:val="000000"/>
                <w:kern w:val="0"/>
                <w:sz w:val="24"/>
                <w:szCs w:val="24"/>
              </w:rPr>
            </w:pPr>
            <w:r>
              <w:rPr>
                <w:rFonts w:hint="eastAsia" w:ascii="宋体" w:hAnsi="宋体" w:cs="宋体"/>
                <w:b/>
                <w:bCs/>
                <w:color w:val="000000"/>
                <w:kern w:val="0"/>
                <w:sz w:val="24"/>
                <w:szCs w:val="24"/>
              </w:rPr>
              <w:t>违法行为</w:t>
            </w:r>
          </w:p>
        </w:tc>
        <w:tc>
          <w:tcPr>
            <w:tcW w:w="238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ascii="宋体" w:hAnsi="宋体" w:cs="宋体"/>
                <w:b/>
                <w:bCs/>
                <w:color w:val="000000"/>
                <w:kern w:val="0"/>
                <w:sz w:val="24"/>
                <w:szCs w:val="24"/>
              </w:rPr>
            </w:pPr>
            <w:r>
              <w:rPr>
                <w:rFonts w:hint="eastAsia" w:ascii="宋体" w:hAnsi="宋体" w:cs="宋体"/>
                <w:b/>
                <w:bCs/>
                <w:color w:val="000000"/>
                <w:kern w:val="0"/>
                <w:sz w:val="24"/>
                <w:szCs w:val="24"/>
              </w:rPr>
              <w:t>法律依据</w:t>
            </w:r>
          </w:p>
        </w:tc>
        <w:tc>
          <w:tcPr>
            <w:tcW w:w="3840"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ascii="宋体" w:hAnsi="宋体" w:cs="宋体"/>
                <w:b/>
                <w:bCs/>
                <w:color w:val="000000"/>
                <w:kern w:val="0"/>
                <w:sz w:val="24"/>
                <w:szCs w:val="24"/>
              </w:rPr>
            </w:pPr>
            <w:r>
              <w:rPr>
                <w:rFonts w:hint="eastAsia" w:ascii="宋体" w:hAnsi="宋体" w:cs="宋体"/>
                <w:b/>
                <w:bCs/>
                <w:color w:val="000000"/>
                <w:kern w:val="0"/>
                <w:sz w:val="24"/>
                <w:szCs w:val="24"/>
              </w:rPr>
              <w:t>法律责任</w:t>
            </w:r>
          </w:p>
        </w:tc>
        <w:tc>
          <w:tcPr>
            <w:tcW w:w="8085"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ascii="宋体" w:hAnsi="宋体" w:cs="宋体"/>
                <w:b/>
                <w:bCs/>
                <w:color w:val="000000"/>
                <w:kern w:val="0"/>
                <w:sz w:val="24"/>
                <w:szCs w:val="24"/>
              </w:rPr>
            </w:pPr>
            <w:r>
              <w:rPr>
                <w:rFonts w:hint="eastAsia" w:ascii="宋体" w:hAnsi="宋体" w:cs="宋体"/>
                <w:b/>
                <w:bCs/>
                <w:color w:val="000000"/>
                <w:kern w:val="0"/>
                <w:sz w:val="24"/>
                <w:szCs w:val="24"/>
              </w:rPr>
              <w:t>裁量基准</w:t>
            </w:r>
          </w:p>
        </w:tc>
        <w:tc>
          <w:tcPr>
            <w:tcW w:w="1953" w:type="dxa"/>
            <w:vMerge w:val="restart"/>
            <w:tcBorders>
              <w:top w:val="single" w:color="000000" w:sz="4" w:space="0"/>
              <w:left w:val="single" w:color="000000" w:sz="4" w:space="0"/>
              <w:bottom w:val="single" w:color="auto" w:sz="4" w:space="0"/>
              <w:right w:val="single" w:color="000000" w:sz="4" w:space="0"/>
            </w:tcBorders>
            <w:vAlign w:val="center"/>
          </w:tcPr>
          <w:p>
            <w:pPr>
              <w:widowControl/>
              <w:ind w:firstLine="4" w:firstLineChars="2"/>
              <w:jc w:val="center"/>
              <w:rPr>
                <w:rFonts w:ascii="宋体" w:hAnsi="宋体" w:cs="宋体"/>
                <w:b/>
                <w:bCs/>
                <w:color w:val="000000"/>
                <w:kern w:val="0"/>
                <w:sz w:val="24"/>
                <w:szCs w:val="24"/>
              </w:rPr>
            </w:pPr>
            <w:r>
              <w:rPr>
                <w:rFonts w:hint="eastAsia" w:ascii="宋体" w:hAnsi="宋体" w:cs="宋体"/>
                <w:b/>
                <w:bCs/>
                <w:color w:val="000000"/>
                <w:kern w:val="0"/>
                <w:sz w:val="24"/>
                <w:szCs w:val="24"/>
              </w:rPr>
              <w:t>备注</w:t>
            </w:r>
          </w:p>
        </w:tc>
      </w:tr>
      <w:tr>
        <w:tblPrEx>
          <w:tblCellMar>
            <w:top w:w="0" w:type="dxa"/>
            <w:left w:w="108" w:type="dxa"/>
            <w:bottom w:w="0" w:type="dxa"/>
            <w:right w:w="108" w:type="dxa"/>
          </w:tblCellMar>
        </w:tblPrEx>
        <w:trPr>
          <w:trHeight w:val="565" w:hRule="atLeast"/>
          <w:tblHeader/>
        </w:trPr>
        <w:tc>
          <w:tcPr>
            <w:tcW w:w="488"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ascii="宋体" w:hAnsi="宋体" w:cs="宋体"/>
                <w:b/>
                <w:bCs/>
                <w:color w:val="000000"/>
                <w:kern w:val="0"/>
                <w:sz w:val="24"/>
                <w:szCs w:val="24"/>
              </w:rPr>
            </w:pPr>
          </w:p>
        </w:tc>
        <w:tc>
          <w:tcPr>
            <w:tcW w:w="4337"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ascii="宋体" w:hAnsi="宋体" w:cs="宋体"/>
                <w:b/>
                <w:bCs/>
                <w:color w:val="000000"/>
                <w:kern w:val="0"/>
                <w:sz w:val="24"/>
                <w:szCs w:val="24"/>
              </w:rPr>
            </w:pPr>
          </w:p>
        </w:tc>
        <w:tc>
          <w:tcPr>
            <w:tcW w:w="2385"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ascii="宋体" w:hAnsi="宋体" w:cs="宋体"/>
                <w:b/>
                <w:bCs/>
                <w:color w:val="000000"/>
                <w:kern w:val="0"/>
                <w:sz w:val="24"/>
                <w:szCs w:val="24"/>
              </w:rPr>
            </w:pPr>
          </w:p>
        </w:tc>
        <w:tc>
          <w:tcPr>
            <w:tcW w:w="3840"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ascii="宋体" w:hAnsi="宋体" w:cs="宋体"/>
                <w:b/>
                <w:bCs/>
                <w:color w:val="000000"/>
                <w:kern w:val="0"/>
                <w:sz w:val="24"/>
                <w:szCs w:val="24"/>
              </w:rPr>
            </w:pP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违法行为情形</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ascii="宋体" w:hAnsi="宋体" w:cs="宋体"/>
                <w:b/>
                <w:bCs/>
                <w:color w:val="000000"/>
                <w:kern w:val="0"/>
                <w:sz w:val="24"/>
                <w:szCs w:val="24"/>
              </w:rPr>
            </w:pPr>
            <w:r>
              <w:rPr>
                <w:rFonts w:hint="eastAsia" w:ascii="宋体" w:hAnsi="宋体" w:cs="宋体"/>
                <w:b/>
                <w:bCs/>
                <w:color w:val="000000"/>
                <w:kern w:val="0"/>
                <w:sz w:val="24"/>
                <w:szCs w:val="24"/>
              </w:rPr>
              <w:t>处罚幅度</w:t>
            </w:r>
          </w:p>
        </w:tc>
        <w:tc>
          <w:tcPr>
            <w:tcW w:w="1953" w:type="dxa"/>
            <w:vMerge w:val="continue"/>
            <w:tcBorders>
              <w:top w:val="single" w:color="000000" w:sz="4" w:space="0"/>
              <w:left w:val="single" w:color="000000" w:sz="4" w:space="0"/>
              <w:bottom w:val="single" w:color="auto" w:sz="4" w:space="0"/>
              <w:right w:val="single" w:color="000000" w:sz="4" w:space="0"/>
            </w:tcBorders>
            <w:vAlign w:val="center"/>
          </w:tcPr>
          <w:p>
            <w:pPr>
              <w:widowControl/>
              <w:ind w:firstLine="480"/>
              <w:jc w:val="left"/>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2003" w:hRule="atLeast"/>
          <w:tblHeader/>
        </w:trPr>
        <w:tc>
          <w:tcPr>
            <w:tcW w:w="488" w:type="dxa"/>
            <w:vMerge w:val="restart"/>
            <w:tcBorders>
              <w:top w:val="single" w:color="000000" w:sz="4" w:space="0"/>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lang w:val="en-US" w:eastAsia="zh-CN"/>
              </w:rPr>
            </w:pPr>
            <w:r>
              <w:rPr>
                <w:rFonts w:hint="eastAsia" w:ascii="楷体" w:hAnsi="楷体" w:eastAsia="楷体" w:cs="楷体"/>
                <w:b w:val="0"/>
                <w:bCs w:val="0"/>
                <w:color w:val="auto"/>
                <w:kern w:val="0"/>
                <w:sz w:val="22"/>
                <w:szCs w:val="22"/>
                <w:lang w:val="en-US" w:eastAsia="zh-CN"/>
              </w:rPr>
              <w:t>1</w:t>
            </w:r>
          </w:p>
        </w:tc>
        <w:tc>
          <w:tcPr>
            <w:tcW w:w="4337" w:type="dxa"/>
            <w:vMerge w:val="restart"/>
            <w:tcBorders>
              <w:top w:val="single" w:color="000000" w:sz="4" w:space="0"/>
              <w:left w:val="single" w:color="000000" w:sz="4" w:space="0"/>
              <w:right w:val="single" w:color="000000" w:sz="4" w:space="0"/>
            </w:tcBorders>
            <w:vAlign w:val="center"/>
          </w:tcPr>
          <w:p>
            <w:pPr>
              <w:widowControl/>
              <w:ind w:firstLine="4" w:firstLineChars="2"/>
              <w:jc w:val="left"/>
              <w:rPr>
                <w:rFonts w:hint="eastAsia" w:ascii="楷体" w:hAnsi="楷体" w:eastAsia="楷体" w:cs="楷体"/>
                <w:b w:val="0"/>
                <w:bCs w:val="0"/>
                <w:color w:val="auto"/>
                <w:kern w:val="0"/>
                <w:sz w:val="22"/>
                <w:szCs w:val="22"/>
              </w:rPr>
            </w:pPr>
            <w:r>
              <w:rPr>
                <w:rFonts w:hint="eastAsia" w:ascii="楷体" w:hAnsi="楷体" w:eastAsia="楷体" w:cs="楷体"/>
                <w:b w:val="0"/>
                <w:bCs w:val="0"/>
                <w:i w:val="0"/>
                <w:caps w:val="0"/>
                <w:color w:val="auto"/>
                <w:spacing w:val="0"/>
                <w:sz w:val="22"/>
                <w:szCs w:val="22"/>
                <w:shd w:val="clear" w:fill="FFFFFF"/>
              </w:rPr>
              <w:t>医疗保障经办机构通过伪造、变造、隐匿、涂改、销毁医学文书、医学证明、会计凭证、电子信息等有关资料或者虚构医药服务项目等方式，骗取医疗保障基金支出</w:t>
            </w:r>
          </w:p>
        </w:tc>
        <w:tc>
          <w:tcPr>
            <w:tcW w:w="2385" w:type="dxa"/>
            <w:vMerge w:val="restart"/>
            <w:tcBorders>
              <w:top w:val="single" w:color="000000" w:sz="4" w:space="0"/>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《医疗保障基金使用监督管理条例》</w:t>
            </w:r>
          </w:p>
          <w:p>
            <w:pPr>
              <w:widowControl/>
              <w:ind w:firstLine="4" w:firstLineChars="2"/>
              <w:jc w:val="center"/>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第三十七条</w:t>
            </w:r>
          </w:p>
        </w:tc>
        <w:tc>
          <w:tcPr>
            <w:tcW w:w="3840" w:type="dxa"/>
            <w:vMerge w:val="restart"/>
            <w:tcBorders>
              <w:top w:val="single" w:color="000000" w:sz="4" w:space="0"/>
              <w:left w:val="single" w:color="000000" w:sz="4" w:space="0"/>
              <w:right w:val="single" w:color="000000" w:sz="4" w:space="0"/>
            </w:tcBorders>
            <w:vAlign w:val="center"/>
          </w:tcPr>
          <w:p>
            <w:pPr>
              <w:widowControl/>
              <w:ind w:firstLine="4" w:firstLineChars="2"/>
              <w:jc w:val="left"/>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由医疗保障行政部门责令退回，处骗取金额2倍以上5倍以下的罚款，对直接负责的主管人员和其他直接责任人员依法给予处分</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spacing w:line="264" w:lineRule="auto"/>
              <w:jc w:val="both"/>
              <w:rPr>
                <w:rFonts w:hint="eastAsia" w:ascii="楷体" w:hAnsi="楷体" w:eastAsia="楷体" w:cs="宋体"/>
                <w:kern w:val="0"/>
                <w:sz w:val="22"/>
                <w:lang w:eastAsia="zh-CN"/>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2</w:t>
            </w:r>
            <w:r>
              <w:rPr>
                <w:rFonts w:hint="eastAsia" w:ascii="楷体" w:hAnsi="楷体" w:eastAsia="楷体" w:cs="宋体"/>
                <w:kern w:val="0"/>
                <w:sz w:val="22"/>
                <w:lang w:eastAsia="zh-CN"/>
              </w:rPr>
              <w:t>千</w:t>
            </w:r>
            <w:r>
              <w:rPr>
                <w:rFonts w:hint="eastAsia" w:ascii="楷体" w:hAnsi="楷体" w:eastAsia="楷体" w:cs="宋体"/>
                <w:kern w:val="0"/>
                <w:sz w:val="22"/>
              </w:rPr>
              <w:t>元</w:t>
            </w:r>
            <w:r>
              <w:rPr>
                <w:rFonts w:hint="eastAsia" w:ascii="楷体" w:hAnsi="楷体" w:eastAsia="楷体" w:cs="宋体"/>
                <w:kern w:val="0"/>
                <w:sz w:val="22"/>
                <w:lang w:eastAsia="zh-CN"/>
              </w:rPr>
              <w:t>以下</w:t>
            </w:r>
            <w:r>
              <w:rPr>
                <w:rFonts w:hint="eastAsia" w:ascii="楷体" w:hAnsi="楷体" w:eastAsia="楷体" w:cs="宋体"/>
                <w:kern w:val="0"/>
                <w:sz w:val="22"/>
              </w:rPr>
              <w:t>的</w:t>
            </w:r>
            <w:r>
              <w:rPr>
                <w:rFonts w:hint="eastAsia" w:ascii="楷体" w:hAnsi="楷体" w:eastAsia="楷体" w:cs="宋体"/>
                <w:kern w:val="0"/>
                <w:sz w:val="22"/>
                <w:lang w:eastAsia="zh-CN"/>
              </w:rPr>
              <w:t>；</w:t>
            </w:r>
          </w:p>
          <w:p>
            <w:pPr>
              <w:widowControl/>
              <w:spacing w:line="264" w:lineRule="auto"/>
              <w:jc w:val="both"/>
              <w:rPr>
                <w:rFonts w:hint="eastAsia" w:ascii="楷体" w:hAnsi="楷体" w:eastAsia="楷体" w:cs="楷体"/>
                <w:b w:val="0"/>
                <w:bCs w:val="0"/>
                <w:color w:val="auto"/>
                <w:kern w:val="0"/>
                <w:sz w:val="22"/>
                <w:szCs w:val="22"/>
                <w:lang w:eastAsia="zh-CN"/>
              </w:rPr>
            </w:pPr>
            <w:r>
              <w:rPr>
                <w:rFonts w:hint="eastAsia" w:ascii="楷体" w:hAnsi="楷体" w:eastAsia="楷体" w:cs="宋体"/>
                <w:kern w:val="0"/>
                <w:sz w:val="22"/>
                <w:lang w:eastAsia="zh-CN"/>
              </w:rPr>
              <w:t>责令退回期限内足额退回的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spacing w:line="264" w:lineRule="auto"/>
              <w:jc w:val="both"/>
              <w:rPr>
                <w:rFonts w:hint="eastAsia" w:ascii="楷体" w:hAnsi="楷体" w:eastAsia="楷体" w:cs="楷体"/>
                <w:b w:val="0"/>
                <w:bCs w:val="0"/>
                <w:color w:val="auto"/>
                <w:kern w:val="0"/>
                <w:sz w:val="22"/>
                <w:szCs w:val="22"/>
              </w:rPr>
            </w:pPr>
            <w:r>
              <w:rPr>
                <w:rFonts w:hint="eastAsia" w:ascii="楷体" w:hAnsi="楷体" w:eastAsia="楷体" w:cs="宋体"/>
                <w:kern w:val="0"/>
                <w:sz w:val="22"/>
              </w:rPr>
              <w:t>按照2倍标准罚款</w:t>
            </w:r>
          </w:p>
        </w:tc>
        <w:tc>
          <w:tcPr>
            <w:tcW w:w="1953" w:type="dxa"/>
            <w:vMerge w:val="restart"/>
            <w:tcBorders>
              <w:top w:val="single" w:color="000000" w:sz="4" w:space="0"/>
              <w:left w:val="single" w:color="000000" w:sz="4" w:space="0"/>
              <w:right w:val="single" w:color="000000" w:sz="4" w:space="0"/>
            </w:tcBorders>
            <w:vAlign w:val="center"/>
          </w:tcPr>
          <w:p>
            <w:pPr>
              <w:widowControl/>
              <w:ind w:firstLine="480"/>
              <w:jc w:val="left"/>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1496" w:hRule="atLeast"/>
          <w:tblHeader/>
        </w:trPr>
        <w:tc>
          <w:tcPr>
            <w:tcW w:w="488"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lang w:val="en-US" w:eastAsia="zh-CN"/>
              </w:rPr>
            </w:pPr>
          </w:p>
        </w:tc>
        <w:tc>
          <w:tcPr>
            <w:tcW w:w="4337" w:type="dxa"/>
            <w:vMerge w:val="continue"/>
            <w:tcBorders>
              <w:left w:val="single" w:color="000000" w:sz="4" w:space="0"/>
              <w:right w:val="single" w:color="000000" w:sz="4" w:space="0"/>
            </w:tcBorders>
            <w:vAlign w:val="center"/>
          </w:tcPr>
          <w:p>
            <w:pPr>
              <w:widowControl/>
              <w:ind w:firstLine="4" w:firstLineChars="2"/>
              <w:jc w:val="left"/>
              <w:rPr>
                <w:rFonts w:hint="eastAsia" w:ascii="楷体" w:hAnsi="楷体" w:eastAsia="楷体" w:cs="楷体"/>
                <w:b w:val="0"/>
                <w:bCs w:val="0"/>
                <w:i w:val="0"/>
                <w:caps w:val="0"/>
                <w:color w:val="auto"/>
                <w:spacing w:val="0"/>
                <w:sz w:val="22"/>
                <w:szCs w:val="22"/>
                <w:shd w:val="clear" w:fill="FFFFFF"/>
              </w:rPr>
            </w:pPr>
          </w:p>
        </w:tc>
        <w:tc>
          <w:tcPr>
            <w:tcW w:w="2385"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lang w:eastAsia="zh-CN"/>
              </w:rPr>
            </w:pPr>
          </w:p>
        </w:tc>
        <w:tc>
          <w:tcPr>
            <w:tcW w:w="3840" w:type="dxa"/>
            <w:vMerge w:val="continue"/>
            <w:tcBorders>
              <w:left w:val="single" w:color="000000" w:sz="4" w:space="0"/>
              <w:right w:val="single" w:color="000000" w:sz="4" w:space="0"/>
            </w:tcBorders>
            <w:vAlign w:val="center"/>
          </w:tcPr>
          <w:p>
            <w:pPr>
              <w:widowControl/>
              <w:ind w:firstLine="4" w:firstLineChars="2"/>
              <w:jc w:val="left"/>
              <w:rPr>
                <w:rFonts w:hint="eastAsia" w:ascii="楷体" w:hAnsi="楷体" w:eastAsia="楷体" w:cs="楷体"/>
                <w:b w:val="0"/>
                <w:bCs w:val="0"/>
                <w:color w:val="auto"/>
                <w:kern w:val="0"/>
                <w:sz w:val="22"/>
                <w:szCs w:val="22"/>
              </w:rPr>
            </w:pP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spacing w:line="264" w:lineRule="auto"/>
              <w:jc w:val="both"/>
              <w:rPr>
                <w:rFonts w:hint="eastAsia" w:ascii="楷体" w:hAnsi="楷体" w:eastAsia="楷体" w:cs="宋体"/>
                <w:kern w:val="0"/>
                <w:sz w:val="22"/>
                <w:lang w:eastAsia="zh-CN"/>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2</w:t>
            </w:r>
            <w:r>
              <w:rPr>
                <w:rFonts w:hint="eastAsia" w:ascii="楷体" w:hAnsi="楷体" w:eastAsia="楷体" w:cs="宋体"/>
                <w:kern w:val="0"/>
                <w:sz w:val="22"/>
                <w:lang w:eastAsia="zh-CN"/>
              </w:rPr>
              <w:t>千</w:t>
            </w:r>
            <w:r>
              <w:rPr>
                <w:rFonts w:hint="eastAsia" w:ascii="楷体" w:hAnsi="楷体" w:eastAsia="楷体" w:cs="宋体"/>
                <w:kern w:val="0"/>
                <w:sz w:val="22"/>
              </w:rPr>
              <w:t>元</w:t>
            </w:r>
            <w:r>
              <w:rPr>
                <w:rFonts w:hint="eastAsia" w:ascii="楷体" w:hAnsi="楷体" w:eastAsia="楷体" w:cs="宋体"/>
                <w:kern w:val="0"/>
                <w:sz w:val="22"/>
                <w:lang w:eastAsia="zh-CN"/>
              </w:rPr>
              <w:t>以下</w:t>
            </w:r>
            <w:r>
              <w:rPr>
                <w:rFonts w:hint="eastAsia" w:ascii="楷体" w:hAnsi="楷体" w:eastAsia="楷体" w:cs="宋体"/>
                <w:kern w:val="0"/>
                <w:sz w:val="22"/>
              </w:rPr>
              <w:t>的</w:t>
            </w:r>
            <w:r>
              <w:rPr>
                <w:rFonts w:hint="eastAsia" w:ascii="楷体" w:hAnsi="楷体" w:eastAsia="楷体" w:cs="宋体"/>
                <w:kern w:val="0"/>
                <w:sz w:val="22"/>
                <w:lang w:eastAsia="zh-CN"/>
              </w:rPr>
              <w:t>；</w:t>
            </w:r>
          </w:p>
          <w:p>
            <w:pPr>
              <w:widowControl/>
              <w:spacing w:line="264" w:lineRule="auto"/>
              <w:jc w:val="both"/>
              <w:rPr>
                <w:rFonts w:hint="eastAsia" w:ascii="楷体" w:hAnsi="楷体" w:eastAsia="楷体" w:cs="宋体"/>
                <w:kern w:val="0"/>
                <w:sz w:val="22"/>
              </w:rPr>
            </w:pPr>
            <w:r>
              <w:rPr>
                <w:rFonts w:hint="eastAsia" w:ascii="楷体" w:hAnsi="楷体" w:eastAsia="楷体" w:cs="宋体"/>
                <w:kern w:val="0"/>
                <w:sz w:val="22"/>
                <w:lang w:eastAsia="zh-CN"/>
              </w:rPr>
              <w:t>责令退回期限内未足额退回的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spacing w:line="264" w:lineRule="auto"/>
              <w:jc w:val="both"/>
              <w:rPr>
                <w:rFonts w:hint="eastAsia" w:ascii="楷体" w:hAnsi="楷体" w:eastAsia="楷体" w:cs="宋体"/>
                <w:kern w:val="0"/>
                <w:sz w:val="22"/>
              </w:rPr>
            </w:pPr>
            <w:r>
              <w:rPr>
                <w:rFonts w:hint="eastAsia" w:ascii="楷体" w:hAnsi="楷体" w:eastAsia="楷体" w:cs="宋体"/>
                <w:kern w:val="0"/>
                <w:sz w:val="22"/>
              </w:rPr>
              <w:t>按照</w:t>
            </w:r>
            <w:r>
              <w:rPr>
                <w:rFonts w:hint="eastAsia" w:ascii="楷体" w:hAnsi="楷体" w:eastAsia="楷体" w:cs="宋体"/>
                <w:kern w:val="0"/>
                <w:sz w:val="22"/>
                <w:lang w:val="en-US" w:eastAsia="zh-CN"/>
              </w:rPr>
              <w:t>2.5</w:t>
            </w:r>
            <w:r>
              <w:rPr>
                <w:rFonts w:hint="eastAsia" w:ascii="楷体" w:hAnsi="楷体" w:eastAsia="楷体" w:cs="宋体"/>
                <w:kern w:val="0"/>
                <w:sz w:val="22"/>
              </w:rPr>
              <w:t>倍标准罚款</w:t>
            </w:r>
          </w:p>
        </w:tc>
        <w:tc>
          <w:tcPr>
            <w:tcW w:w="1953" w:type="dxa"/>
            <w:vMerge w:val="continue"/>
            <w:tcBorders>
              <w:left w:val="single" w:color="000000" w:sz="4" w:space="0"/>
              <w:right w:val="single" w:color="000000" w:sz="4" w:space="0"/>
            </w:tcBorders>
            <w:vAlign w:val="center"/>
          </w:tcPr>
          <w:p>
            <w:pPr>
              <w:widowControl/>
              <w:ind w:firstLine="480"/>
              <w:jc w:val="left"/>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1413" w:hRule="atLeast"/>
          <w:tblHeader/>
        </w:trPr>
        <w:tc>
          <w:tcPr>
            <w:tcW w:w="488" w:type="dxa"/>
            <w:vMerge w:val="continue"/>
            <w:tcBorders>
              <w:left w:val="single" w:color="000000" w:sz="4" w:space="0"/>
              <w:right w:val="single" w:color="000000" w:sz="4" w:space="0"/>
            </w:tcBorders>
            <w:vAlign w:val="center"/>
          </w:tcPr>
          <w:p>
            <w:pPr>
              <w:widowControl/>
              <w:ind w:firstLine="4" w:firstLineChars="2"/>
              <w:jc w:val="center"/>
            </w:pPr>
          </w:p>
        </w:tc>
        <w:tc>
          <w:tcPr>
            <w:tcW w:w="4337" w:type="dxa"/>
            <w:vMerge w:val="continue"/>
            <w:tcBorders>
              <w:left w:val="single" w:color="000000" w:sz="4" w:space="0"/>
              <w:right w:val="single" w:color="000000" w:sz="4" w:space="0"/>
            </w:tcBorders>
            <w:vAlign w:val="center"/>
          </w:tcPr>
          <w:p>
            <w:pPr>
              <w:widowControl/>
              <w:ind w:firstLine="4" w:firstLineChars="2"/>
              <w:jc w:val="center"/>
            </w:pPr>
          </w:p>
        </w:tc>
        <w:tc>
          <w:tcPr>
            <w:tcW w:w="2385" w:type="dxa"/>
            <w:vMerge w:val="continue"/>
            <w:tcBorders>
              <w:left w:val="single" w:color="000000" w:sz="4" w:space="0"/>
              <w:right w:val="single" w:color="000000" w:sz="4" w:space="0"/>
            </w:tcBorders>
            <w:vAlign w:val="center"/>
          </w:tcPr>
          <w:p>
            <w:pPr>
              <w:widowControl/>
              <w:ind w:firstLine="4" w:firstLineChars="2"/>
              <w:jc w:val="center"/>
            </w:pPr>
          </w:p>
        </w:tc>
        <w:tc>
          <w:tcPr>
            <w:tcW w:w="3840" w:type="dxa"/>
            <w:vMerge w:val="continue"/>
            <w:tcBorders>
              <w:left w:val="single" w:color="000000" w:sz="4" w:space="0"/>
              <w:right w:val="single" w:color="000000" w:sz="4" w:space="0"/>
            </w:tcBorders>
            <w:vAlign w:val="center"/>
          </w:tcPr>
          <w:p>
            <w:pPr>
              <w:widowControl/>
              <w:ind w:firstLine="4" w:firstLineChars="2"/>
              <w:jc w:val="center"/>
            </w:pP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spacing w:line="264" w:lineRule="auto"/>
              <w:jc w:val="both"/>
              <w:rPr>
                <w:rFonts w:hint="eastAsia" w:ascii="楷体" w:hAnsi="楷体" w:eastAsia="楷体" w:cs="宋体"/>
                <w:kern w:val="0"/>
                <w:sz w:val="22"/>
                <w:lang w:eastAsia="zh-CN"/>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2</w:t>
            </w:r>
            <w:r>
              <w:rPr>
                <w:rFonts w:hint="eastAsia" w:ascii="楷体" w:hAnsi="楷体" w:eastAsia="楷体" w:cs="宋体"/>
                <w:kern w:val="0"/>
                <w:sz w:val="22"/>
                <w:lang w:eastAsia="zh-CN"/>
              </w:rPr>
              <w:t>千</w:t>
            </w:r>
            <w:r>
              <w:rPr>
                <w:rFonts w:hint="eastAsia" w:ascii="楷体" w:hAnsi="楷体" w:eastAsia="楷体" w:cs="宋体"/>
                <w:kern w:val="0"/>
                <w:sz w:val="22"/>
              </w:rPr>
              <w:t>元以上</w:t>
            </w:r>
            <w:r>
              <w:rPr>
                <w:rFonts w:hint="eastAsia" w:ascii="楷体" w:hAnsi="楷体" w:eastAsia="楷体" w:cs="宋体"/>
                <w:kern w:val="0"/>
                <w:sz w:val="22"/>
                <w:lang w:val="en-US" w:eastAsia="zh-CN"/>
              </w:rPr>
              <w:t>6</w:t>
            </w:r>
            <w:r>
              <w:rPr>
                <w:rFonts w:hint="eastAsia" w:ascii="楷体" w:hAnsi="楷体" w:eastAsia="楷体" w:cs="宋体"/>
                <w:kern w:val="0"/>
                <w:sz w:val="22"/>
                <w:lang w:eastAsia="zh-CN"/>
              </w:rPr>
              <w:t>千元</w:t>
            </w:r>
            <w:r>
              <w:rPr>
                <w:rFonts w:hint="eastAsia" w:ascii="楷体" w:hAnsi="楷体" w:eastAsia="楷体" w:cs="宋体"/>
                <w:kern w:val="0"/>
                <w:sz w:val="22"/>
              </w:rPr>
              <w:t>以下的</w:t>
            </w:r>
            <w:r>
              <w:rPr>
                <w:rFonts w:hint="eastAsia" w:ascii="楷体" w:hAnsi="楷体" w:eastAsia="楷体" w:cs="宋体"/>
                <w:kern w:val="0"/>
                <w:sz w:val="22"/>
                <w:lang w:eastAsia="zh-CN"/>
              </w:rPr>
              <w:t>；</w:t>
            </w:r>
          </w:p>
          <w:p>
            <w:pPr>
              <w:widowControl/>
              <w:spacing w:line="264" w:lineRule="auto"/>
              <w:jc w:val="both"/>
              <w:rPr>
                <w:rFonts w:hint="eastAsia" w:ascii="楷体" w:hAnsi="楷体" w:eastAsia="楷体" w:cs="楷体"/>
                <w:b w:val="0"/>
                <w:bCs w:val="0"/>
                <w:color w:val="auto"/>
                <w:kern w:val="0"/>
                <w:sz w:val="22"/>
                <w:szCs w:val="22"/>
              </w:rPr>
            </w:pPr>
            <w:r>
              <w:rPr>
                <w:rFonts w:hint="eastAsia" w:ascii="楷体" w:hAnsi="楷体" w:eastAsia="楷体" w:cs="宋体"/>
                <w:kern w:val="0"/>
                <w:sz w:val="22"/>
                <w:lang w:eastAsia="zh-CN"/>
              </w:rPr>
              <w:t>责令退回期限内足额退回的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spacing w:line="264" w:lineRule="auto"/>
              <w:jc w:val="both"/>
              <w:rPr>
                <w:rFonts w:hint="eastAsia" w:ascii="楷体" w:hAnsi="楷体" w:eastAsia="楷体" w:cs="楷体"/>
                <w:b w:val="0"/>
                <w:bCs w:val="0"/>
                <w:color w:val="auto"/>
                <w:kern w:val="0"/>
                <w:sz w:val="22"/>
                <w:szCs w:val="22"/>
              </w:rPr>
            </w:pPr>
            <w:r>
              <w:rPr>
                <w:rFonts w:hint="eastAsia" w:ascii="楷体" w:hAnsi="楷体" w:eastAsia="楷体" w:cs="宋体"/>
                <w:kern w:val="0"/>
                <w:sz w:val="22"/>
              </w:rPr>
              <w:t>按照</w:t>
            </w:r>
            <w:r>
              <w:rPr>
                <w:rFonts w:hint="eastAsia" w:ascii="楷体" w:hAnsi="楷体" w:eastAsia="楷体" w:cs="宋体"/>
                <w:kern w:val="0"/>
                <w:sz w:val="22"/>
                <w:lang w:val="en-US" w:eastAsia="zh-CN"/>
              </w:rPr>
              <w:t>3</w:t>
            </w:r>
            <w:r>
              <w:rPr>
                <w:rFonts w:hint="eastAsia" w:ascii="楷体" w:hAnsi="楷体" w:eastAsia="楷体" w:cs="宋体"/>
                <w:kern w:val="0"/>
                <w:sz w:val="22"/>
              </w:rPr>
              <w:t>倍标准罚款</w:t>
            </w:r>
          </w:p>
        </w:tc>
        <w:tc>
          <w:tcPr>
            <w:tcW w:w="1953"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1479" w:hRule="atLeast"/>
          <w:tblHeader/>
        </w:trPr>
        <w:tc>
          <w:tcPr>
            <w:tcW w:w="488" w:type="dxa"/>
            <w:vMerge w:val="continue"/>
            <w:tcBorders>
              <w:left w:val="single" w:color="000000" w:sz="4" w:space="0"/>
              <w:right w:val="single" w:color="000000" w:sz="4" w:space="0"/>
            </w:tcBorders>
            <w:vAlign w:val="center"/>
          </w:tcPr>
          <w:p>
            <w:pPr>
              <w:widowControl/>
              <w:ind w:firstLine="4" w:firstLineChars="2"/>
              <w:jc w:val="center"/>
            </w:pPr>
          </w:p>
        </w:tc>
        <w:tc>
          <w:tcPr>
            <w:tcW w:w="4337" w:type="dxa"/>
            <w:vMerge w:val="continue"/>
            <w:tcBorders>
              <w:left w:val="single" w:color="000000" w:sz="4" w:space="0"/>
              <w:right w:val="single" w:color="000000" w:sz="4" w:space="0"/>
            </w:tcBorders>
            <w:vAlign w:val="center"/>
          </w:tcPr>
          <w:p>
            <w:pPr>
              <w:widowControl/>
              <w:ind w:firstLine="4" w:firstLineChars="2"/>
              <w:jc w:val="center"/>
            </w:pPr>
          </w:p>
        </w:tc>
        <w:tc>
          <w:tcPr>
            <w:tcW w:w="2385" w:type="dxa"/>
            <w:vMerge w:val="continue"/>
            <w:tcBorders>
              <w:left w:val="single" w:color="000000" w:sz="4" w:space="0"/>
              <w:right w:val="single" w:color="000000" w:sz="4" w:space="0"/>
            </w:tcBorders>
            <w:vAlign w:val="center"/>
          </w:tcPr>
          <w:p>
            <w:pPr>
              <w:widowControl/>
              <w:ind w:firstLine="4" w:firstLineChars="2"/>
              <w:jc w:val="center"/>
            </w:pPr>
          </w:p>
        </w:tc>
        <w:tc>
          <w:tcPr>
            <w:tcW w:w="3840" w:type="dxa"/>
            <w:vMerge w:val="continue"/>
            <w:tcBorders>
              <w:left w:val="single" w:color="000000" w:sz="4" w:space="0"/>
              <w:right w:val="single" w:color="000000" w:sz="4" w:space="0"/>
            </w:tcBorders>
            <w:vAlign w:val="center"/>
          </w:tcPr>
          <w:p>
            <w:pPr>
              <w:widowControl/>
              <w:ind w:firstLine="4" w:firstLineChars="2"/>
              <w:jc w:val="center"/>
            </w:pP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spacing w:line="264" w:lineRule="auto"/>
              <w:jc w:val="both"/>
              <w:rPr>
                <w:rFonts w:hint="eastAsia" w:ascii="楷体" w:hAnsi="楷体" w:eastAsia="楷体" w:cs="宋体"/>
                <w:kern w:val="0"/>
                <w:sz w:val="22"/>
                <w:lang w:eastAsia="zh-CN"/>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2</w:t>
            </w:r>
            <w:r>
              <w:rPr>
                <w:rFonts w:hint="eastAsia" w:ascii="楷体" w:hAnsi="楷体" w:eastAsia="楷体" w:cs="宋体"/>
                <w:kern w:val="0"/>
                <w:sz w:val="22"/>
                <w:lang w:eastAsia="zh-CN"/>
              </w:rPr>
              <w:t>千</w:t>
            </w:r>
            <w:r>
              <w:rPr>
                <w:rFonts w:hint="eastAsia" w:ascii="楷体" w:hAnsi="楷体" w:eastAsia="楷体" w:cs="宋体"/>
                <w:kern w:val="0"/>
                <w:sz w:val="22"/>
              </w:rPr>
              <w:t>元以上</w:t>
            </w:r>
            <w:r>
              <w:rPr>
                <w:rFonts w:hint="eastAsia" w:ascii="楷体" w:hAnsi="楷体" w:eastAsia="楷体" w:cs="宋体"/>
                <w:kern w:val="0"/>
                <w:sz w:val="22"/>
                <w:lang w:val="en-US" w:eastAsia="zh-CN"/>
              </w:rPr>
              <w:t>6</w:t>
            </w:r>
            <w:r>
              <w:rPr>
                <w:rFonts w:hint="eastAsia" w:ascii="楷体" w:hAnsi="楷体" w:eastAsia="楷体" w:cs="宋体"/>
                <w:kern w:val="0"/>
                <w:sz w:val="22"/>
                <w:lang w:eastAsia="zh-CN"/>
              </w:rPr>
              <w:t>千元</w:t>
            </w:r>
            <w:r>
              <w:rPr>
                <w:rFonts w:hint="eastAsia" w:ascii="楷体" w:hAnsi="楷体" w:eastAsia="楷体" w:cs="宋体"/>
                <w:kern w:val="0"/>
                <w:sz w:val="22"/>
              </w:rPr>
              <w:t>以下的</w:t>
            </w:r>
            <w:r>
              <w:rPr>
                <w:rFonts w:hint="eastAsia" w:ascii="楷体" w:hAnsi="楷体" w:eastAsia="楷体" w:cs="宋体"/>
                <w:kern w:val="0"/>
                <w:sz w:val="22"/>
                <w:lang w:eastAsia="zh-CN"/>
              </w:rPr>
              <w:t>；</w:t>
            </w:r>
          </w:p>
          <w:p>
            <w:pPr>
              <w:widowControl/>
              <w:spacing w:line="264" w:lineRule="auto"/>
              <w:jc w:val="both"/>
              <w:rPr>
                <w:rFonts w:hint="eastAsia" w:ascii="楷体" w:hAnsi="楷体" w:eastAsia="楷体" w:cs="宋体"/>
                <w:kern w:val="0"/>
                <w:sz w:val="22"/>
              </w:rPr>
            </w:pPr>
            <w:r>
              <w:rPr>
                <w:rFonts w:hint="eastAsia" w:ascii="楷体" w:hAnsi="楷体" w:eastAsia="楷体" w:cs="宋体"/>
                <w:kern w:val="0"/>
                <w:sz w:val="22"/>
                <w:lang w:eastAsia="zh-CN"/>
              </w:rPr>
              <w:t>责令退回期限内未足额退回的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spacing w:line="264" w:lineRule="auto"/>
              <w:jc w:val="both"/>
              <w:rPr>
                <w:rFonts w:hint="eastAsia" w:ascii="楷体" w:hAnsi="楷体" w:eastAsia="楷体" w:cs="宋体"/>
                <w:kern w:val="0"/>
                <w:sz w:val="22"/>
              </w:rPr>
            </w:pPr>
            <w:r>
              <w:rPr>
                <w:rFonts w:hint="eastAsia" w:ascii="楷体" w:hAnsi="楷体" w:eastAsia="楷体" w:cs="宋体"/>
                <w:kern w:val="0"/>
                <w:sz w:val="22"/>
              </w:rPr>
              <w:t>按照</w:t>
            </w:r>
            <w:r>
              <w:rPr>
                <w:rFonts w:hint="eastAsia" w:ascii="楷体" w:hAnsi="楷体" w:eastAsia="楷体" w:cs="宋体"/>
                <w:kern w:val="0"/>
                <w:sz w:val="22"/>
                <w:lang w:val="en-US" w:eastAsia="zh-CN"/>
              </w:rPr>
              <w:t>3.5</w:t>
            </w:r>
            <w:r>
              <w:rPr>
                <w:rFonts w:hint="eastAsia" w:ascii="楷体" w:hAnsi="楷体" w:eastAsia="楷体" w:cs="宋体"/>
                <w:kern w:val="0"/>
                <w:sz w:val="22"/>
              </w:rPr>
              <w:t>倍标准罚款</w:t>
            </w:r>
          </w:p>
        </w:tc>
        <w:tc>
          <w:tcPr>
            <w:tcW w:w="1953"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1672" w:hRule="atLeast"/>
          <w:tblHeader/>
        </w:trPr>
        <w:tc>
          <w:tcPr>
            <w:tcW w:w="488"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4337"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2385"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3840"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spacing w:line="264" w:lineRule="auto"/>
              <w:jc w:val="both"/>
              <w:rPr>
                <w:rFonts w:hint="eastAsia" w:ascii="楷体" w:hAnsi="楷体" w:eastAsia="楷体" w:cs="宋体"/>
                <w:kern w:val="0"/>
                <w:sz w:val="22"/>
                <w:lang w:eastAsia="zh-CN"/>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6</w:t>
            </w:r>
            <w:r>
              <w:rPr>
                <w:rFonts w:hint="eastAsia" w:ascii="楷体" w:hAnsi="楷体" w:eastAsia="楷体" w:cs="宋体"/>
                <w:kern w:val="0"/>
                <w:sz w:val="22"/>
                <w:lang w:eastAsia="zh-CN"/>
              </w:rPr>
              <w:t>千</w:t>
            </w:r>
            <w:r>
              <w:rPr>
                <w:rFonts w:hint="eastAsia" w:ascii="楷体" w:hAnsi="楷体" w:eastAsia="楷体" w:cs="宋体"/>
                <w:kern w:val="0"/>
                <w:sz w:val="22"/>
              </w:rPr>
              <w:t>元</w:t>
            </w:r>
            <w:r>
              <w:rPr>
                <w:rFonts w:hint="eastAsia" w:ascii="楷体" w:hAnsi="楷体" w:eastAsia="楷体" w:cs="宋体"/>
                <w:kern w:val="0"/>
                <w:sz w:val="22"/>
                <w:lang w:eastAsia="zh-CN"/>
              </w:rPr>
              <w:t>以上</w:t>
            </w:r>
            <w:r>
              <w:rPr>
                <w:rFonts w:hint="eastAsia" w:ascii="楷体" w:hAnsi="楷体" w:eastAsia="楷体" w:cs="宋体"/>
                <w:kern w:val="0"/>
                <w:sz w:val="22"/>
              </w:rPr>
              <w:t>的</w:t>
            </w:r>
            <w:r>
              <w:rPr>
                <w:rFonts w:hint="eastAsia" w:ascii="楷体" w:hAnsi="楷体" w:eastAsia="楷体" w:cs="宋体"/>
                <w:kern w:val="0"/>
                <w:sz w:val="22"/>
                <w:lang w:eastAsia="zh-CN"/>
              </w:rPr>
              <w:t>；</w:t>
            </w:r>
          </w:p>
          <w:p>
            <w:pPr>
              <w:widowControl/>
              <w:spacing w:line="264" w:lineRule="auto"/>
              <w:jc w:val="both"/>
              <w:rPr>
                <w:rFonts w:hint="eastAsia" w:ascii="楷体" w:hAnsi="楷体" w:eastAsia="楷体" w:cs="楷体"/>
                <w:b w:val="0"/>
                <w:bCs w:val="0"/>
                <w:color w:val="auto"/>
                <w:kern w:val="0"/>
                <w:sz w:val="22"/>
                <w:szCs w:val="22"/>
              </w:rPr>
            </w:pPr>
            <w:r>
              <w:rPr>
                <w:rFonts w:hint="eastAsia" w:ascii="楷体" w:hAnsi="楷体" w:eastAsia="楷体" w:cs="宋体"/>
                <w:kern w:val="0"/>
                <w:sz w:val="22"/>
                <w:lang w:eastAsia="zh-CN"/>
              </w:rPr>
              <w:t>责令退回期限内足额退回的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spacing w:line="264" w:lineRule="auto"/>
              <w:jc w:val="both"/>
              <w:rPr>
                <w:rFonts w:hint="eastAsia" w:ascii="楷体" w:hAnsi="楷体" w:eastAsia="楷体" w:cs="楷体"/>
                <w:b w:val="0"/>
                <w:bCs w:val="0"/>
                <w:color w:val="auto"/>
                <w:kern w:val="0"/>
                <w:sz w:val="22"/>
                <w:szCs w:val="22"/>
              </w:rPr>
            </w:pPr>
            <w:r>
              <w:rPr>
                <w:rFonts w:hint="eastAsia" w:ascii="楷体" w:hAnsi="楷体" w:eastAsia="楷体" w:cs="宋体"/>
                <w:kern w:val="0"/>
                <w:sz w:val="22"/>
              </w:rPr>
              <w:t>按照</w:t>
            </w:r>
            <w:r>
              <w:rPr>
                <w:rFonts w:hint="eastAsia" w:ascii="楷体" w:hAnsi="楷体" w:eastAsia="楷体" w:cs="宋体"/>
                <w:kern w:val="0"/>
                <w:sz w:val="22"/>
                <w:lang w:val="en-US" w:eastAsia="zh-CN"/>
              </w:rPr>
              <w:t>4</w:t>
            </w:r>
            <w:r>
              <w:rPr>
                <w:rFonts w:hint="eastAsia" w:ascii="楷体" w:hAnsi="楷体" w:eastAsia="楷体" w:cs="宋体"/>
                <w:kern w:val="0"/>
                <w:sz w:val="22"/>
              </w:rPr>
              <w:t>倍标准罚款</w:t>
            </w:r>
          </w:p>
        </w:tc>
        <w:tc>
          <w:tcPr>
            <w:tcW w:w="1953"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1509" w:hRule="atLeast"/>
          <w:tblHeader/>
        </w:trPr>
        <w:tc>
          <w:tcPr>
            <w:tcW w:w="488" w:type="dxa"/>
            <w:vMerge w:val="continue"/>
            <w:tcBorders>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4337" w:type="dxa"/>
            <w:vMerge w:val="continue"/>
            <w:tcBorders>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2385" w:type="dxa"/>
            <w:vMerge w:val="continue"/>
            <w:tcBorders>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3840" w:type="dxa"/>
            <w:vMerge w:val="continue"/>
            <w:tcBorders>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left"/>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rPr>
              <w:t>造成基金损失</w:t>
            </w:r>
            <w:r>
              <w:rPr>
                <w:rFonts w:hint="eastAsia" w:ascii="楷体" w:hAnsi="楷体" w:eastAsia="楷体" w:cs="楷体"/>
                <w:b w:val="0"/>
                <w:bCs w:val="0"/>
                <w:color w:val="auto"/>
                <w:kern w:val="0"/>
                <w:sz w:val="22"/>
                <w:szCs w:val="22"/>
                <w:lang w:val="en-US" w:eastAsia="zh-CN"/>
              </w:rPr>
              <w:t>6</w:t>
            </w:r>
            <w:r>
              <w:rPr>
                <w:rFonts w:hint="eastAsia" w:ascii="楷体" w:hAnsi="楷体" w:eastAsia="楷体" w:cs="楷体"/>
                <w:b w:val="0"/>
                <w:bCs w:val="0"/>
                <w:color w:val="auto"/>
                <w:kern w:val="0"/>
                <w:sz w:val="22"/>
                <w:szCs w:val="22"/>
                <w:lang w:eastAsia="zh-CN"/>
              </w:rPr>
              <w:t>千</w:t>
            </w:r>
            <w:r>
              <w:rPr>
                <w:rFonts w:hint="eastAsia" w:ascii="楷体" w:hAnsi="楷体" w:eastAsia="楷体" w:cs="楷体"/>
                <w:b w:val="0"/>
                <w:bCs w:val="0"/>
                <w:color w:val="auto"/>
                <w:kern w:val="0"/>
                <w:sz w:val="22"/>
                <w:szCs w:val="22"/>
              </w:rPr>
              <w:t>元</w:t>
            </w:r>
            <w:r>
              <w:rPr>
                <w:rFonts w:hint="eastAsia" w:ascii="楷体" w:hAnsi="楷体" w:eastAsia="楷体" w:cs="楷体"/>
                <w:b w:val="0"/>
                <w:bCs w:val="0"/>
                <w:color w:val="auto"/>
                <w:kern w:val="0"/>
                <w:sz w:val="22"/>
                <w:szCs w:val="22"/>
                <w:lang w:eastAsia="zh-CN"/>
              </w:rPr>
              <w:t>以上</w:t>
            </w:r>
            <w:r>
              <w:rPr>
                <w:rFonts w:hint="eastAsia" w:ascii="楷体" w:hAnsi="楷体" w:eastAsia="楷体" w:cs="楷体"/>
                <w:b w:val="0"/>
                <w:bCs w:val="0"/>
                <w:color w:val="auto"/>
                <w:kern w:val="0"/>
                <w:sz w:val="22"/>
                <w:szCs w:val="22"/>
              </w:rPr>
              <w:t>的</w:t>
            </w:r>
            <w:r>
              <w:rPr>
                <w:rFonts w:hint="eastAsia" w:ascii="楷体" w:hAnsi="楷体" w:eastAsia="楷体" w:cs="楷体"/>
                <w:b w:val="0"/>
                <w:bCs w:val="0"/>
                <w:color w:val="auto"/>
                <w:kern w:val="0"/>
                <w:sz w:val="22"/>
                <w:szCs w:val="22"/>
                <w:lang w:eastAsia="zh-CN"/>
              </w:rPr>
              <w:t>；</w:t>
            </w:r>
          </w:p>
          <w:p>
            <w:pPr>
              <w:widowControl/>
              <w:ind w:firstLine="4" w:firstLineChars="2"/>
              <w:jc w:val="left"/>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责令退回期限内未足额退回的</w:t>
            </w:r>
          </w:p>
          <w:p>
            <w:pPr>
              <w:pStyle w:val="2"/>
              <w:rPr>
                <w:rFonts w:hint="eastAsia" w:ascii="楷体" w:hAnsi="楷体" w:eastAsia="楷体" w:cs="宋体"/>
                <w:kern w:val="0"/>
                <w:sz w:val="22"/>
                <w:lang w:eastAsia="zh-CN"/>
              </w:rPr>
            </w:pP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spacing w:line="264" w:lineRule="auto"/>
              <w:jc w:val="both"/>
              <w:rPr>
                <w:rFonts w:hint="eastAsia" w:ascii="楷体" w:hAnsi="楷体" w:eastAsia="楷体" w:cs="宋体"/>
                <w:kern w:val="0"/>
                <w:sz w:val="22"/>
              </w:rPr>
            </w:pPr>
            <w:r>
              <w:rPr>
                <w:rFonts w:hint="eastAsia" w:ascii="楷体" w:hAnsi="楷体" w:eastAsia="楷体" w:cs="宋体"/>
                <w:kern w:val="0"/>
                <w:sz w:val="22"/>
              </w:rPr>
              <w:t>按照</w:t>
            </w:r>
            <w:r>
              <w:rPr>
                <w:rFonts w:hint="eastAsia" w:ascii="楷体" w:hAnsi="楷体" w:eastAsia="楷体" w:cs="宋体"/>
                <w:kern w:val="0"/>
                <w:sz w:val="22"/>
                <w:lang w:val="en-US" w:eastAsia="zh-CN"/>
              </w:rPr>
              <w:t>5</w:t>
            </w:r>
            <w:r>
              <w:rPr>
                <w:rFonts w:hint="eastAsia" w:ascii="楷体" w:hAnsi="楷体" w:eastAsia="楷体" w:cs="宋体"/>
                <w:kern w:val="0"/>
                <w:sz w:val="22"/>
              </w:rPr>
              <w:t>倍标准罚款</w:t>
            </w:r>
          </w:p>
        </w:tc>
        <w:tc>
          <w:tcPr>
            <w:tcW w:w="1953" w:type="dxa"/>
            <w:vMerge w:val="continue"/>
            <w:tcBorders>
              <w:left w:val="single" w:color="000000" w:sz="4" w:space="0"/>
              <w:bottom w:val="single" w:color="auto"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3260" w:hRule="atLeast"/>
          <w:tblHeader/>
        </w:trPr>
        <w:tc>
          <w:tcPr>
            <w:tcW w:w="488" w:type="dxa"/>
            <w:vMerge w:val="restart"/>
            <w:tcBorders>
              <w:top w:val="single" w:color="000000" w:sz="4" w:space="0"/>
              <w:left w:val="single" w:color="000000" w:sz="4" w:space="0"/>
              <w:right w:val="single" w:color="000000" w:sz="4" w:space="0"/>
            </w:tcBorders>
            <w:vAlign w:val="center"/>
          </w:tcPr>
          <w:p>
            <w:pPr>
              <w:pStyle w:val="2"/>
              <w:rPr>
                <w:rFonts w:hint="eastAsia" w:ascii="楷体" w:hAnsi="楷体" w:eastAsia="楷体" w:cs="楷体"/>
                <w:b w:val="0"/>
                <w:bCs w:val="0"/>
                <w:color w:val="auto"/>
                <w:sz w:val="22"/>
                <w:szCs w:val="22"/>
                <w:lang w:val="en-US" w:eastAsia="zh-CN"/>
              </w:rPr>
            </w:pPr>
            <w:r>
              <w:rPr>
                <w:rFonts w:hint="eastAsia" w:ascii="楷体" w:hAnsi="楷体" w:eastAsia="楷体" w:cs="楷体"/>
                <w:b w:val="0"/>
                <w:bCs w:val="0"/>
                <w:color w:val="auto"/>
                <w:sz w:val="22"/>
                <w:szCs w:val="22"/>
                <w:lang w:val="en-US" w:eastAsia="zh-CN"/>
              </w:rPr>
              <w:t>2</w:t>
            </w:r>
          </w:p>
        </w:tc>
        <w:tc>
          <w:tcPr>
            <w:tcW w:w="433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276" w:lineRule="auto"/>
              <w:jc w:val="both"/>
              <w:textAlignment w:val="auto"/>
              <w:outlineLvl w:val="9"/>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eastAsia="zh-CN"/>
              </w:rPr>
              <w:t>定点医药机构</w:t>
            </w:r>
            <w:r>
              <w:rPr>
                <w:rFonts w:hint="eastAsia" w:ascii="楷体" w:hAnsi="楷体" w:eastAsia="楷体" w:cs="楷体"/>
                <w:b w:val="0"/>
                <w:bCs w:val="0"/>
                <w:color w:val="auto"/>
                <w:kern w:val="0"/>
                <w:sz w:val="22"/>
                <w:szCs w:val="22"/>
              </w:rPr>
              <w:t>未建立医疗保障基金使用内部管理制度，或者没有专门机构或者人员负责医疗保障基金使用管理工作；未按照规定保管财务账目、会计凭证、处方、病历、治疗检查记录、费用明细、药品和医用耗材出入库记录等资料；未按照规定通过医疗保障信息系统传送医疗保障基金使用有关数据；未按照规定向医疗保障行政部门报告医疗保障基金使用监督管理所需信息；未按照规定向社会公开医药费用、费用结构等信息；除急诊、抢救等特殊情形外，未经参保人员或者其近亲属、监护人同意提供医疗保障基金支付范围以外的医药服务；拒绝医疗保障等行政部门监督检查或者提供虚假情况</w:t>
            </w:r>
          </w:p>
        </w:tc>
        <w:tc>
          <w:tcPr>
            <w:tcW w:w="2385" w:type="dxa"/>
            <w:vMerge w:val="restart"/>
            <w:tcBorders>
              <w:top w:val="single" w:color="000000" w:sz="4" w:space="0"/>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《医疗保障基金使用监督管理条例》</w:t>
            </w:r>
          </w:p>
          <w:p>
            <w:pPr>
              <w:widowControl/>
              <w:ind w:firstLine="4" w:firstLineChars="2"/>
              <w:jc w:val="center"/>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eastAsia="zh-CN"/>
              </w:rPr>
              <w:t>第三十九条</w:t>
            </w:r>
          </w:p>
        </w:tc>
        <w:tc>
          <w:tcPr>
            <w:tcW w:w="3840" w:type="dxa"/>
            <w:vMerge w:val="restart"/>
            <w:tcBorders>
              <w:top w:val="single" w:color="000000" w:sz="4" w:space="0"/>
              <w:left w:val="single" w:color="000000" w:sz="4" w:space="0"/>
              <w:right w:val="single" w:color="000000" w:sz="4" w:space="0"/>
            </w:tcBorders>
            <w:vAlign w:val="center"/>
          </w:tcPr>
          <w:p>
            <w:pPr>
              <w:widowControl/>
              <w:ind w:firstLine="4" w:firstLineChars="2"/>
              <w:jc w:val="left"/>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由医疗保障行政部门责令改正，并可以约谈有关负责人；拒不改正的，处1万元以上5万元以下的罚款；违反其他法律、行政法规的，由有关主管部门依法处理</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jc w:val="both"/>
              <w:textAlignment w:val="auto"/>
              <w:outlineLvl w:val="9"/>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在整改期限内完成整改且符合下列情形之一的：</w:t>
            </w:r>
          </w:p>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jc w:val="both"/>
              <w:textAlignment w:val="auto"/>
              <w:outlineLvl w:val="9"/>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w:t>
            </w:r>
            <w:r>
              <w:rPr>
                <w:rFonts w:hint="eastAsia" w:ascii="楷体" w:hAnsi="楷体" w:eastAsia="楷体" w:cs="楷体"/>
                <w:b w:val="0"/>
                <w:bCs w:val="0"/>
                <w:color w:val="auto"/>
                <w:kern w:val="0"/>
                <w:sz w:val="22"/>
                <w:szCs w:val="22"/>
                <w:lang w:val="en-US" w:eastAsia="zh-CN"/>
              </w:rPr>
              <w:t>1</w:t>
            </w:r>
            <w:r>
              <w:rPr>
                <w:rFonts w:hint="eastAsia" w:ascii="楷体" w:hAnsi="楷体" w:eastAsia="楷体" w:cs="楷体"/>
                <w:b w:val="0"/>
                <w:bCs w:val="0"/>
                <w:color w:val="auto"/>
                <w:kern w:val="0"/>
                <w:sz w:val="22"/>
                <w:szCs w:val="22"/>
                <w:lang w:eastAsia="zh-CN"/>
              </w:rPr>
              <w:t>）实施了《条例》第三十九条第（一）项至第（五）项以及第（七）项违法行为的</w:t>
            </w:r>
          </w:p>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jc w:val="both"/>
              <w:textAlignment w:val="auto"/>
              <w:outlineLvl w:val="9"/>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w:t>
            </w:r>
            <w:r>
              <w:rPr>
                <w:rFonts w:hint="eastAsia" w:ascii="楷体" w:hAnsi="楷体" w:eastAsia="楷体" w:cs="楷体"/>
                <w:b w:val="0"/>
                <w:bCs w:val="0"/>
                <w:color w:val="auto"/>
                <w:kern w:val="0"/>
                <w:sz w:val="22"/>
                <w:szCs w:val="22"/>
                <w:lang w:val="en-US" w:eastAsia="zh-CN"/>
              </w:rPr>
              <w:t>2</w:t>
            </w:r>
            <w:r>
              <w:rPr>
                <w:rFonts w:hint="eastAsia" w:ascii="楷体" w:hAnsi="楷体" w:eastAsia="楷体" w:cs="楷体"/>
                <w:b w:val="0"/>
                <w:bCs w:val="0"/>
                <w:color w:val="auto"/>
                <w:kern w:val="0"/>
                <w:sz w:val="22"/>
                <w:szCs w:val="22"/>
                <w:lang w:eastAsia="zh-CN"/>
              </w:rPr>
              <w:t>）实施了《条例》第三十九条第（六）项违法行为且涉及金额在</w:t>
            </w:r>
            <w:r>
              <w:rPr>
                <w:rFonts w:hint="eastAsia" w:ascii="楷体" w:hAnsi="楷体" w:eastAsia="楷体" w:cs="楷体"/>
                <w:b w:val="0"/>
                <w:bCs w:val="0"/>
                <w:color w:val="auto"/>
                <w:kern w:val="0"/>
                <w:sz w:val="22"/>
                <w:szCs w:val="22"/>
                <w:lang w:val="en-US" w:eastAsia="zh-CN"/>
              </w:rPr>
              <w:t>1000元以上</w:t>
            </w:r>
            <w:r>
              <w:rPr>
                <w:rFonts w:hint="eastAsia" w:ascii="楷体" w:hAnsi="楷体" w:eastAsia="楷体" w:cs="楷体"/>
                <w:b w:val="0"/>
                <w:bCs w:val="0"/>
                <w:color w:val="auto"/>
                <w:kern w:val="0"/>
                <w:sz w:val="22"/>
                <w:szCs w:val="22"/>
                <w:lang w:eastAsia="zh-CN"/>
              </w:rPr>
              <w:t>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rPr>
              <w:t>约谈有关负责人</w:t>
            </w:r>
          </w:p>
        </w:tc>
        <w:tc>
          <w:tcPr>
            <w:tcW w:w="195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jc w:val="left"/>
              <w:textAlignment w:val="auto"/>
              <w:outlineLvl w:val="9"/>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实施了《条例》第三十九条第（六）项违法行为且涉及金额在</w:t>
            </w:r>
            <w:r>
              <w:rPr>
                <w:rFonts w:hint="eastAsia" w:ascii="楷体" w:hAnsi="楷体" w:eastAsia="楷体" w:cs="楷体"/>
                <w:b w:val="0"/>
                <w:bCs w:val="0"/>
                <w:color w:val="auto"/>
                <w:kern w:val="0"/>
                <w:sz w:val="22"/>
                <w:szCs w:val="22"/>
                <w:lang w:val="en-US" w:eastAsia="zh-CN"/>
              </w:rPr>
              <w:t>1000元以下</w:t>
            </w:r>
            <w:r>
              <w:rPr>
                <w:rFonts w:hint="eastAsia" w:ascii="楷体" w:hAnsi="楷体" w:eastAsia="楷体" w:cs="楷体"/>
                <w:b w:val="0"/>
                <w:bCs w:val="0"/>
                <w:color w:val="auto"/>
                <w:kern w:val="0"/>
                <w:sz w:val="22"/>
                <w:szCs w:val="22"/>
                <w:lang w:eastAsia="zh-CN"/>
              </w:rPr>
              <w:t>的，视具体案件情形决定是否约谈有关负责人。</w:t>
            </w:r>
          </w:p>
          <w:p>
            <w:pPr>
              <w:widowControl/>
              <w:ind w:firstLine="480"/>
              <w:jc w:val="left"/>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2131" w:hRule="atLeast"/>
          <w:tblHeader/>
        </w:trPr>
        <w:tc>
          <w:tcPr>
            <w:tcW w:w="488" w:type="dxa"/>
            <w:vMerge w:val="continue"/>
            <w:tcBorders>
              <w:left w:val="single" w:color="000000" w:sz="4" w:space="0"/>
              <w:right w:val="single" w:color="000000" w:sz="4" w:space="0"/>
            </w:tcBorders>
            <w:vAlign w:val="center"/>
          </w:tcPr>
          <w:p>
            <w:pPr>
              <w:widowControl/>
              <w:ind w:firstLine="4" w:firstLineChars="2"/>
              <w:jc w:val="center"/>
            </w:pPr>
          </w:p>
        </w:tc>
        <w:tc>
          <w:tcPr>
            <w:tcW w:w="4337" w:type="dxa"/>
            <w:vMerge w:val="continue"/>
            <w:tcBorders>
              <w:left w:val="single" w:color="000000" w:sz="4" w:space="0"/>
              <w:right w:val="single" w:color="000000" w:sz="4" w:space="0"/>
            </w:tcBorders>
            <w:vAlign w:val="center"/>
          </w:tcPr>
          <w:p>
            <w:pPr>
              <w:widowControl/>
              <w:ind w:firstLine="4" w:firstLineChars="2"/>
              <w:jc w:val="center"/>
            </w:pPr>
          </w:p>
        </w:tc>
        <w:tc>
          <w:tcPr>
            <w:tcW w:w="2385" w:type="dxa"/>
            <w:vMerge w:val="continue"/>
            <w:tcBorders>
              <w:left w:val="single" w:color="000000" w:sz="4" w:space="0"/>
              <w:right w:val="single" w:color="000000" w:sz="4" w:space="0"/>
            </w:tcBorders>
            <w:vAlign w:val="center"/>
          </w:tcPr>
          <w:p>
            <w:pPr>
              <w:widowControl/>
              <w:ind w:firstLine="4" w:firstLineChars="2"/>
              <w:jc w:val="center"/>
            </w:pPr>
          </w:p>
        </w:tc>
        <w:tc>
          <w:tcPr>
            <w:tcW w:w="3840" w:type="dxa"/>
            <w:vMerge w:val="continue"/>
            <w:tcBorders>
              <w:left w:val="single" w:color="000000" w:sz="4" w:space="0"/>
              <w:right w:val="single" w:color="000000" w:sz="4" w:space="0"/>
            </w:tcBorders>
            <w:vAlign w:val="center"/>
          </w:tcPr>
          <w:p>
            <w:pPr>
              <w:widowControl/>
              <w:ind w:firstLine="4" w:firstLineChars="2"/>
              <w:jc w:val="center"/>
            </w:pPr>
          </w:p>
        </w:tc>
        <w:tc>
          <w:tcPr>
            <w:tcW w:w="4230" w:type="dxa"/>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both"/>
              <w:rPr>
                <w:rFonts w:hint="eastAsia" w:ascii="楷体" w:hAnsi="楷体" w:eastAsia="楷体" w:cs="楷体"/>
                <w:b w:val="0"/>
                <w:bCs w:val="0"/>
                <w:color w:val="auto"/>
                <w:kern w:val="0"/>
                <w:sz w:val="22"/>
                <w:szCs w:val="22"/>
                <w:lang w:val="en-US" w:eastAsia="zh-CN"/>
              </w:rPr>
            </w:pPr>
            <w:r>
              <w:rPr>
                <w:rFonts w:hint="eastAsia" w:ascii="楷体" w:hAnsi="楷体" w:eastAsia="楷体" w:cs="楷体"/>
                <w:b w:val="0"/>
                <w:bCs w:val="0"/>
                <w:color w:val="auto"/>
                <w:kern w:val="0"/>
                <w:sz w:val="22"/>
                <w:szCs w:val="22"/>
                <w:lang w:eastAsia="zh-CN"/>
              </w:rPr>
              <w:t>拒不改正，造成医疗保障基金使用管理隐患，或影响医疗保障基金监管工作正常开展，或造成负面社会影响</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约谈有关负责人</w:t>
            </w:r>
            <w:r>
              <w:rPr>
                <w:rFonts w:hint="eastAsia" w:ascii="楷体" w:hAnsi="楷体" w:eastAsia="楷体" w:cs="楷体"/>
                <w:b w:val="0"/>
                <w:bCs w:val="0"/>
                <w:color w:val="auto"/>
                <w:kern w:val="0"/>
                <w:sz w:val="22"/>
                <w:szCs w:val="22"/>
                <w:lang w:eastAsia="zh-CN"/>
              </w:rPr>
              <w:t>、</w:t>
            </w:r>
            <w:r>
              <w:rPr>
                <w:rFonts w:hint="eastAsia" w:ascii="楷体" w:hAnsi="楷体" w:eastAsia="楷体" w:cs="宋体"/>
                <w:kern w:val="0"/>
                <w:sz w:val="22"/>
                <w:highlight w:val="none"/>
              </w:rPr>
              <w:t>按照</w:t>
            </w:r>
            <w:r>
              <w:rPr>
                <w:rFonts w:hint="eastAsia" w:ascii="楷体" w:hAnsi="楷体" w:eastAsia="楷体" w:cs="宋体"/>
                <w:kern w:val="0"/>
                <w:sz w:val="22"/>
                <w:highlight w:val="none"/>
                <w:lang w:val="en-US" w:eastAsia="zh-CN"/>
              </w:rPr>
              <w:t>1万</w:t>
            </w:r>
            <w:r>
              <w:rPr>
                <w:rFonts w:hint="eastAsia" w:ascii="楷体" w:hAnsi="楷体" w:eastAsia="楷体" w:cs="宋体"/>
                <w:kern w:val="0"/>
                <w:sz w:val="22"/>
                <w:highlight w:val="none"/>
              </w:rPr>
              <w:t>元以上2</w:t>
            </w:r>
            <w:r>
              <w:rPr>
                <w:rFonts w:hint="eastAsia" w:ascii="楷体" w:hAnsi="楷体" w:eastAsia="楷体" w:cs="宋体"/>
                <w:kern w:val="0"/>
                <w:sz w:val="22"/>
                <w:highlight w:val="none"/>
                <w:lang w:eastAsia="zh-CN"/>
              </w:rPr>
              <w:t>万元</w:t>
            </w:r>
            <w:r>
              <w:rPr>
                <w:rFonts w:hint="eastAsia" w:ascii="楷体" w:hAnsi="楷体" w:eastAsia="楷体" w:cs="宋体"/>
                <w:kern w:val="0"/>
                <w:sz w:val="22"/>
                <w:highlight w:val="none"/>
              </w:rPr>
              <w:t>以下标准罚款</w:t>
            </w:r>
          </w:p>
        </w:tc>
        <w:tc>
          <w:tcPr>
            <w:tcW w:w="1953"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2329" w:hRule="atLeast"/>
          <w:tblHeader/>
        </w:trPr>
        <w:tc>
          <w:tcPr>
            <w:tcW w:w="488"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4337"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2385"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3840"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default" w:ascii="楷体" w:hAnsi="楷体" w:eastAsia="楷体" w:cs="楷体"/>
                <w:b w:val="0"/>
                <w:bCs w:val="0"/>
                <w:color w:val="auto"/>
                <w:kern w:val="0"/>
                <w:sz w:val="22"/>
                <w:szCs w:val="22"/>
                <w:lang w:val="en-US" w:eastAsia="zh-CN"/>
              </w:rPr>
            </w:pPr>
            <w:r>
              <w:rPr>
                <w:rFonts w:hint="eastAsia" w:ascii="楷体" w:hAnsi="楷体" w:eastAsia="楷体" w:cs="楷体"/>
                <w:b w:val="0"/>
                <w:bCs w:val="0"/>
                <w:color w:val="auto"/>
                <w:kern w:val="0"/>
                <w:sz w:val="22"/>
                <w:szCs w:val="22"/>
                <w:lang w:eastAsia="zh-CN"/>
              </w:rPr>
              <w:t>拒不改正，造成较大医疗保障基金使用管理隐患，或对医疗保障基金监管工作正常开展造成较大影响，或造成较大负面社会影响</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约谈有关负责人</w:t>
            </w:r>
            <w:r>
              <w:rPr>
                <w:rFonts w:hint="eastAsia" w:ascii="楷体" w:hAnsi="楷体" w:eastAsia="楷体" w:cs="楷体"/>
                <w:b w:val="0"/>
                <w:bCs w:val="0"/>
                <w:color w:val="auto"/>
                <w:kern w:val="0"/>
                <w:sz w:val="22"/>
                <w:szCs w:val="22"/>
                <w:lang w:eastAsia="zh-CN"/>
              </w:rPr>
              <w:t>、</w:t>
            </w:r>
            <w:r>
              <w:rPr>
                <w:rFonts w:hint="eastAsia" w:ascii="楷体" w:hAnsi="楷体" w:eastAsia="楷体" w:cs="宋体"/>
                <w:kern w:val="0"/>
                <w:sz w:val="22"/>
                <w:highlight w:val="none"/>
              </w:rPr>
              <w:t>按照</w:t>
            </w:r>
            <w:r>
              <w:rPr>
                <w:rFonts w:hint="eastAsia" w:ascii="楷体" w:hAnsi="楷体" w:eastAsia="楷体" w:cs="宋体"/>
                <w:kern w:val="0"/>
                <w:sz w:val="22"/>
                <w:highlight w:val="none"/>
                <w:lang w:val="en-US" w:eastAsia="zh-CN"/>
              </w:rPr>
              <w:t>2万</w:t>
            </w:r>
            <w:r>
              <w:rPr>
                <w:rFonts w:hint="eastAsia" w:ascii="楷体" w:hAnsi="楷体" w:eastAsia="楷体" w:cs="宋体"/>
                <w:kern w:val="0"/>
                <w:sz w:val="22"/>
                <w:highlight w:val="none"/>
              </w:rPr>
              <w:t>元以上</w:t>
            </w:r>
            <w:r>
              <w:rPr>
                <w:rFonts w:hint="eastAsia" w:ascii="楷体" w:hAnsi="楷体" w:eastAsia="楷体" w:cs="宋体"/>
                <w:kern w:val="0"/>
                <w:sz w:val="22"/>
                <w:highlight w:val="none"/>
                <w:lang w:val="en-US" w:eastAsia="zh-CN"/>
              </w:rPr>
              <w:t>3</w:t>
            </w:r>
            <w:r>
              <w:rPr>
                <w:rFonts w:hint="eastAsia" w:ascii="楷体" w:hAnsi="楷体" w:eastAsia="楷体" w:cs="宋体"/>
                <w:kern w:val="0"/>
                <w:sz w:val="22"/>
                <w:highlight w:val="none"/>
                <w:lang w:eastAsia="zh-CN"/>
              </w:rPr>
              <w:t>万元</w:t>
            </w:r>
            <w:r>
              <w:rPr>
                <w:rFonts w:hint="eastAsia" w:ascii="楷体" w:hAnsi="楷体" w:eastAsia="楷体" w:cs="宋体"/>
                <w:kern w:val="0"/>
                <w:sz w:val="22"/>
                <w:highlight w:val="none"/>
              </w:rPr>
              <w:t>以下标准罚款</w:t>
            </w:r>
          </w:p>
        </w:tc>
        <w:tc>
          <w:tcPr>
            <w:tcW w:w="1953"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4002" w:hRule="atLeast"/>
          <w:tblHeader/>
        </w:trPr>
        <w:tc>
          <w:tcPr>
            <w:tcW w:w="488" w:type="dxa"/>
            <w:vMerge w:val="continue"/>
            <w:tcBorders>
              <w:left w:val="single" w:color="000000" w:sz="4" w:space="0"/>
              <w:bottom w:val="single" w:color="auto"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4337" w:type="dxa"/>
            <w:vMerge w:val="continue"/>
            <w:tcBorders>
              <w:left w:val="single" w:color="000000" w:sz="4" w:space="0"/>
              <w:bottom w:val="single" w:color="auto"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2385" w:type="dxa"/>
            <w:vMerge w:val="continue"/>
            <w:tcBorders>
              <w:left w:val="single" w:color="000000" w:sz="4" w:space="0"/>
              <w:bottom w:val="single" w:color="auto"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3840" w:type="dxa"/>
            <w:vMerge w:val="continue"/>
            <w:tcBorders>
              <w:left w:val="single" w:color="000000" w:sz="4" w:space="0"/>
              <w:bottom w:val="single" w:color="auto"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4230" w:type="dxa"/>
            <w:tcBorders>
              <w:top w:val="single" w:color="000000" w:sz="4" w:space="0"/>
              <w:left w:val="single" w:color="000000" w:sz="4" w:space="0"/>
              <w:bottom w:val="single" w:color="auto"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eastAsia="zh-CN"/>
              </w:rPr>
              <w:t>拒不改正，情节严重，造成重大医疗保障基金使用管理隐患，或对医疗保障基金监管工作正常开展造成重大影响，或造成恶劣社会影响</w:t>
            </w:r>
          </w:p>
        </w:tc>
        <w:tc>
          <w:tcPr>
            <w:tcW w:w="3855" w:type="dxa"/>
            <w:tcBorders>
              <w:top w:val="single" w:color="000000" w:sz="4" w:space="0"/>
              <w:left w:val="single" w:color="000000" w:sz="4" w:space="0"/>
              <w:bottom w:val="single" w:color="auto"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约谈有关负责人</w:t>
            </w:r>
            <w:r>
              <w:rPr>
                <w:rFonts w:hint="eastAsia" w:ascii="楷体" w:hAnsi="楷体" w:eastAsia="楷体" w:cs="楷体"/>
                <w:b w:val="0"/>
                <w:bCs w:val="0"/>
                <w:color w:val="auto"/>
                <w:kern w:val="0"/>
                <w:sz w:val="22"/>
                <w:szCs w:val="22"/>
                <w:lang w:eastAsia="zh-CN"/>
              </w:rPr>
              <w:t>、</w:t>
            </w:r>
            <w:r>
              <w:rPr>
                <w:rFonts w:hint="eastAsia" w:ascii="楷体" w:hAnsi="楷体" w:eastAsia="楷体" w:cs="宋体"/>
                <w:kern w:val="0"/>
                <w:sz w:val="22"/>
                <w:highlight w:val="none"/>
              </w:rPr>
              <w:t>按照</w:t>
            </w:r>
            <w:r>
              <w:rPr>
                <w:rFonts w:hint="eastAsia" w:ascii="楷体" w:hAnsi="楷体" w:eastAsia="楷体" w:cs="宋体"/>
                <w:kern w:val="0"/>
                <w:sz w:val="22"/>
                <w:highlight w:val="none"/>
                <w:lang w:val="en-US" w:eastAsia="zh-CN"/>
              </w:rPr>
              <w:t>3万</w:t>
            </w:r>
            <w:r>
              <w:rPr>
                <w:rFonts w:hint="eastAsia" w:ascii="楷体" w:hAnsi="楷体" w:eastAsia="楷体" w:cs="宋体"/>
                <w:kern w:val="0"/>
                <w:sz w:val="22"/>
                <w:highlight w:val="none"/>
              </w:rPr>
              <w:t>元以上</w:t>
            </w:r>
            <w:r>
              <w:rPr>
                <w:rFonts w:hint="eastAsia" w:ascii="楷体" w:hAnsi="楷体" w:eastAsia="楷体" w:cs="宋体"/>
                <w:kern w:val="0"/>
                <w:sz w:val="22"/>
                <w:highlight w:val="none"/>
                <w:lang w:val="en-US" w:eastAsia="zh-CN"/>
              </w:rPr>
              <w:t>5</w:t>
            </w:r>
            <w:r>
              <w:rPr>
                <w:rFonts w:hint="eastAsia" w:ascii="楷体" w:hAnsi="楷体" w:eastAsia="楷体" w:cs="宋体"/>
                <w:kern w:val="0"/>
                <w:sz w:val="22"/>
                <w:highlight w:val="none"/>
                <w:lang w:eastAsia="zh-CN"/>
              </w:rPr>
              <w:t>万元</w:t>
            </w:r>
            <w:r>
              <w:rPr>
                <w:rFonts w:hint="eastAsia" w:ascii="楷体" w:hAnsi="楷体" w:eastAsia="楷体" w:cs="宋体"/>
                <w:kern w:val="0"/>
                <w:sz w:val="22"/>
                <w:highlight w:val="none"/>
              </w:rPr>
              <w:t>以下标准罚款</w:t>
            </w:r>
          </w:p>
        </w:tc>
        <w:tc>
          <w:tcPr>
            <w:tcW w:w="1953" w:type="dxa"/>
            <w:vMerge w:val="continue"/>
            <w:tcBorders>
              <w:left w:val="single" w:color="000000" w:sz="4" w:space="0"/>
              <w:bottom w:val="single" w:color="auto"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2454" w:hRule="atLeast"/>
          <w:tblHeader/>
        </w:trPr>
        <w:tc>
          <w:tcPr>
            <w:tcW w:w="488"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val="en-US" w:eastAsia="zh-CN"/>
              </w:rPr>
              <w:t>3</w:t>
            </w:r>
          </w:p>
        </w:tc>
        <w:tc>
          <w:tcPr>
            <w:tcW w:w="4337"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 w:firstLineChars="2"/>
              <w:jc w:val="left"/>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rPr>
              <w:t>定点医药机构分解住院、挂床住院；违反诊疗规范过度诊疗、过度检查、分解处方、超量开药、重复开药或者提供其他不必要的医药服务；重复收费、超标准收费、分解项目收费</w:t>
            </w:r>
            <w:r>
              <w:rPr>
                <w:rFonts w:hint="eastAsia" w:ascii="楷体" w:hAnsi="楷体" w:eastAsia="楷体" w:cs="楷体"/>
                <w:b w:val="0"/>
                <w:bCs w:val="0"/>
                <w:color w:val="auto"/>
                <w:kern w:val="0"/>
                <w:sz w:val="22"/>
                <w:szCs w:val="22"/>
                <w:lang w:eastAsia="zh-CN"/>
              </w:rPr>
              <w:t>；</w:t>
            </w:r>
            <w:r>
              <w:rPr>
                <w:rFonts w:hint="eastAsia" w:ascii="楷体" w:hAnsi="楷体" w:eastAsia="楷体" w:cs="楷体"/>
                <w:b w:val="0"/>
                <w:bCs w:val="0"/>
                <w:color w:val="auto"/>
                <w:kern w:val="0"/>
                <w:sz w:val="22"/>
                <w:szCs w:val="22"/>
              </w:rPr>
              <w:t>串换药品、医用耗材、诊疗项目和服务设施；为参保人员利用其享受医疗保障待遇的机会转卖药品，接受返还现金、实物或者获得其他非法利益提供便利；将不属于医疗保障基金支付范围的医药费用纳入医疗保障基金结算；造成医疗保障基金损失的其他违法行为</w:t>
            </w:r>
            <w:r>
              <w:rPr>
                <w:rFonts w:hint="eastAsia" w:ascii="楷体" w:hAnsi="楷体" w:eastAsia="楷体" w:cs="楷体"/>
                <w:b w:val="0"/>
                <w:bCs w:val="0"/>
                <w:color w:val="auto"/>
                <w:kern w:val="0"/>
                <w:sz w:val="22"/>
                <w:szCs w:val="22"/>
                <w:lang w:eastAsia="zh-CN"/>
              </w:rPr>
              <w:t>；</w:t>
            </w:r>
          </w:p>
          <w:p>
            <w:pPr>
              <w:pStyle w:val="2"/>
              <w:rPr>
                <w:rFonts w:hint="eastAsia"/>
              </w:rPr>
            </w:pPr>
            <w:r>
              <w:rPr>
                <w:rFonts w:hint="eastAsia" w:ascii="楷体" w:hAnsi="楷体" w:eastAsia="楷体" w:cs="楷体"/>
                <w:b w:val="0"/>
                <w:bCs w:val="0"/>
                <w:color w:val="auto"/>
                <w:kern w:val="0"/>
                <w:sz w:val="22"/>
                <w:szCs w:val="22"/>
              </w:rPr>
              <w:t>以骗取医疗保障基金为目的，实施了</w:t>
            </w:r>
            <w:r>
              <w:rPr>
                <w:rFonts w:hint="eastAsia" w:ascii="楷体" w:hAnsi="楷体" w:eastAsia="楷体" w:cs="楷体"/>
                <w:b w:val="0"/>
                <w:bCs w:val="0"/>
                <w:color w:val="auto"/>
                <w:kern w:val="0"/>
                <w:sz w:val="22"/>
                <w:szCs w:val="22"/>
                <w:lang w:eastAsia="zh-CN"/>
              </w:rPr>
              <w:t>上述</w:t>
            </w:r>
            <w:r>
              <w:rPr>
                <w:rFonts w:hint="eastAsia" w:ascii="楷体" w:hAnsi="楷体" w:eastAsia="楷体" w:cs="楷体"/>
                <w:b w:val="0"/>
                <w:bCs w:val="0"/>
                <w:color w:val="auto"/>
                <w:kern w:val="0"/>
                <w:sz w:val="22"/>
                <w:szCs w:val="22"/>
              </w:rPr>
              <w:t>行为之一，造成医疗保障基金损失的</w:t>
            </w:r>
          </w:p>
        </w:tc>
        <w:tc>
          <w:tcPr>
            <w:tcW w:w="23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《医疗保障基金使用监督管理条例》</w:t>
            </w:r>
          </w:p>
          <w:p>
            <w:pPr>
              <w:widowControl/>
              <w:jc w:val="center"/>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eastAsia="zh-CN"/>
              </w:rPr>
              <w:t>第三十八条、</w:t>
            </w:r>
            <w:r>
              <w:rPr>
                <w:rFonts w:hint="eastAsia" w:ascii="楷体" w:hAnsi="楷体" w:eastAsia="楷体" w:cs="楷体"/>
                <w:b w:val="0"/>
                <w:bCs w:val="0"/>
                <w:color w:val="auto"/>
                <w:kern w:val="0"/>
                <w:sz w:val="22"/>
                <w:szCs w:val="22"/>
                <w:lang w:val="en-US" w:eastAsia="zh-CN"/>
              </w:rPr>
              <w:t xml:space="preserve">       </w:t>
            </w:r>
            <w:r>
              <w:rPr>
                <w:rFonts w:hint="eastAsia" w:ascii="楷体" w:hAnsi="楷体" w:eastAsia="楷体" w:cs="楷体"/>
                <w:b w:val="0"/>
                <w:bCs w:val="0"/>
                <w:color w:val="auto"/>
                <w:kern w:val="0"/>
                <w:sz w:val="22"/>
                <w:szCs w:val="22"/>
                <w:lang w:eastAsia="zh-CN"/>
              </w:rPr>
              <w:t>第四十条第二款</w:t>
            </w:r>
          </w:p>
        </w:tc>
        <w:tc>
          <w:tcPr>
            <w:tcW w:w="384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2"/>
                <w:szCs w:val="22"/>
                <w:lang w:eastAsia="zh-CN"/>
              </w:rPr>
            </w:pPr>
            <w:r>
              <w:rPr>
                <w:rFonts w:hint="eastAsia" w:ascii="楷体" w:hAnsi="楷体" w:eastAsia="楷体" w:cs="宋体"/>
                <w:kern w:val="0"/>
                <w:sz w:val="22"/>
                <w:lang w:eastAsia="zh-CN"/>
              </w:rPr>
              <w:t>未发现以骗取医疗保障基金为目的：</w:t>
            </w:r>
            <w:r>
              <w:rPr>
                <w:rFonts w:hint="eastAsia" w:ascii="楷体" w:hAnsi="楷体" w:eastAsia="楷体" w:cs="楷体"/>
                <w:b w:val="0"/>
                <w:bCs w:val="0"/>
                <w:color w:val="auto"/>
                <w:kern w:val="0"/>
                <w:sz w:val="22"/>
                <w:szCs w:val="22"/>
                <w:lang w:eastAsia="zh-CN"/>
              </w:rPr>
              <w:t>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pStyle w:val="2"/>
              <w:rPr>
                <w:rFonts w:hint="eastAsia"/>
              </w:rPr>
            </w:pPr>
            <w:r>
              <w:rPr>
                <w:rFonts w:hint="eastAsia" w:ascii="楷体" w:hAnsi="楷体" w:eastAsia="楷体" w:cs="楷体"/>
                <w:b w:val="0"/>
                <w:bCs w:val="0"/>
                <w:color w:val="auto"/>
                <w:kern w:val="0"/>
                <w:sz w:val="22"/>
                <w:szCs w:val="22"/>
              </w:rPr>
              <w:t>以骗取医疗保障基金为目的</w:t>
            </w:r>
            <w:r>
              <w:rPr>
                <w:rFonts w:hint="eastAsia" w:ascii="楷体" w:hAnsi="楷体" w:eastAsia="楷体" w:cs="楷体"/>
                <w:b w:val="0"/>
                <w:bCs w:val="0"/>
                <w:color w:val="auto"/>
                <w:kern w:val="0"/>
                <w:sz w:val="22"/>
                <w:szCs w:val="22"/>
                <w:lang w:eastAsia="zh-CN"/>
              </w:rPr>
              <w:t>：</w:t>
            </w:r>
            <w:r>
              <w:rPr>
                <w:rFonts w:hint="eastAsia" w:ascii="楷体" w:hAnsi="楷体" w:eastAsia="楷体" w:cs="楷体"/>
                <w:b w:val="0"/>
                <w:bCs w:val="0"/>
                <w:color w:val="auto"/>
                <w:kern w:val="0"/>
                <w:sz w:val="22"/>
                <w:szCs w:val="22"/>
              </w:rPr>
              <w:t>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tc>
        <w:tc>
          <w:tcPr>
            <w:tcW w:w="4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jc w:val="both"/>
              <w:textAlignment w:val="auto"/>
              <w:outlineLvl w:val="9"/>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符合下列情形之一的：</w:t>
            </w:r>
          </w:p>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jc w:val="both"/>
              <w:textAlignment w:val="auto"/>
              <w:outlineLvl w:val="9"/>
              <w:rPr>
                <w:rFonts w:hint="eastAsia" w:ascii="楷体" w:hAnsi="楷体" w:eastAsia="楷体" w:cs="楷体"/>
                <w:b w:val="0"/>
                <w:bCs w:val="0"/>
                <w:color w:val="auto"/>
                <w:kern w:val="0"/>
                <w:sz w:val="22"/>
                <w:szCs w:val="22"/>
                <w:lang w:val="en-US" w:eastAsia="zh-CN"/>
              </w:rPr>
            </w:pPr>
            <w:r>
              <w:rPr>
                <w:rFonts w:hint="eastAsia" w:ascii="楷体" w:hAnsi="楷体" w:eastAsia="楷体" w:cs="楷体"/>
                <w:b w:val="0"/>
                <w:bCs w:val="0"/>
                <w:color w:val="auto"/>
                <w:kern w:val="0"/>
                <w:sz w:val="22"/>
                <w:szCs w:val="22"/>
                <w:lang w:eastAsia="zh-CN"/>
              </w:rPr>
              <w:t>（</w:t>
            </w:r>
            <w:r>
              <w:rPr>
                <w:rFonts w:hint="eastAsia" w:ascii="楷体" w:hAnsi="楷体" w:eastAsia="楷体" w:cs="楷体"/>
                <w:b w:val="0"/>
                <w:bCs w:val="0"/>
                <w:color w:val="auto"/>
                <w:kern w:val="0"/>
                <w:sz w:val="22"/>
                <w:szCs w:val="22"/>
                <w:lang w:val="en-US" w:eastAsia="zh-CN"/>
              </w:rPr>
              <w:t>1</w:t>
            </w:r>
            <w:r>
              <w:rPr>
                <w:rFonts w:hint="eastAsia" w:ascii="楷体" w:hAnsi="楷体" w:eastAsia="楷体" w:cs="楷体"/>
                <w:b w:val="0"/>
                <w:bCs w:val="0"/>
                <w:color w:val="auto"/>
                <w:kern w:val="0"/>
                <w:sz w:val="22"/>
                <w:szCs w:val="22"/>
                <w:lang w:eastAsia="zh-CN"/>
              </w:rPr>
              <w:t>）主动自查自纠并退回违规使用的医保基金，且金额在</w:t>
            </w:r>
            <w:r>
              <w:rPr>
                <w:rFonts w:hint="eastAsia" w:ascii="楷体" w:hAnsi="楷体" w:eastAsia="楷体" w:cs="楷体"/>
                <w:b w:val="0"/>
                <w:bCs w:val="0"/>
                <w:color w:val="auto"/>
                <w:kern w:val="0"/>
                <w:sz w:val="22"/>
                <w:szCs w:val="22"/>
                <w:lang w:val="en-US" w:eastAsia="zh-CN"/>
              </w:rPr>
              <w:t>10万元以上的</w:t>
            </w:r>
          </w:p>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ind w:left="0" w:leftChars="0" w:firstLine="0" w:firstLineChars="0"/>
              <w:jc w:val="both"/>
              <w:textAlignment w:val="auto"/>
              <w:outlineLvl w:val="9"/>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val="en-US" w:eastAsia="zh-CN"/>
              </w:rPr>
              <w:t>（2）为个别人或个别部门行为，未造成医保基金损失，或者造成基金损失在1万元以下且在</w:t>
            </w:r>
            <w:r>
              <w:rPr>
                <w:rFonts w:hint="eastAsia" w:ascii="楷体" w:hAnsi="楷体" w:eastAsia="楷体" w:cs="宋体"/>
                <w:kern w:val="0"/>
                <w:sz w:val="22"/>
                <w:lang w:eastAsia="zh-CN"/>
              </w:rPr>
              <w:t>责令退回期限内足额退回，未发现以骗取医疗保障基金为目的的</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ind w:firstLine="4" w:firstLineChars="2"/>
              <w:jc w:val="both"/>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eastAsia="zh-CN"/>
              </w:rPr>
              <w:t>约谈有关负责人</w:t>
            </w:r>
          </w:p>
        </w:tc>
        <w:tc>
          <w:tcPr>
            <w:tcW w:w="19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val="0"/>
              <w:autoSpaceDN w:val="0"/>
              <w:bidi w:val="0"/>
              <w:adjustRightInd/>
              <w:snapToGrid/>
              <w:spacing w:line="280" w:lineRule="exact"/>
              <w:jc w:val="left"/>
              <w:textAlignment w:val="auto"/>
              <w:outlineLvl w:val="9"/>
              <w:rPr>
                <w:rFonts w:hint="eastAsia" w:ascii="楷体" w:hAnsi="楷体" w:eastAsia="楷体" w:cs="宋体"/>
                <w:kern w:val="0"/>
                <w:sz w:val="22"/>
                <w:lang w:eastAsia="zh-CN"/>
              </w:rPr>
            </w:pPr>
            <w:r>
              <w:rPr>
                <w:rFonts w:hint="eastAsia" w:ascii="楷体" w:hAnsi="楷体" w:eastAsia="楷体" w:cs="楷体"/>
                <w:b w:val="0"/>
                <w:bCs w:val="0"/>
                <w:color w:val="auto"/>
                <w:kern w:val="0"/>
                <w:sz w:val="22"/>
                <w:szCs w:val="22"/>
                <w:lang w:eastAsia="zh-CN"/>
              </w:rPr>
              <w:t>主动自查自纠并退回违规使用的医保基金，且金额在</w:t>
            </w:r>
            <w:r>
              <w:rPr>
                <w:rFonts w:hint="eastAsia" w:ascii="楷体" w:hAnsi="楷体" w:eastAsia="楷体" w:cs="楷体"/>
                <w:b w:val="0"/>
                <w:bCs w:val="0"/>
                <w:color w:val="auto"/>
                <w:kern w:val="0"/>
                <w:sz w:val="22"/>
                <w:szCs w:val="22"/>
                <w:lang w:val="en-US" w:eastAsia="zh-CN"/>
              </w:rPr>
              <w:t>10万元以下、没有从重情节的，</w:t>
            </w:r>
            <w:r>
              <w:rPr>
                <w:rFonts w:hint="eastAsia" w:ascii="楷体" w:hAnsi="楷体" w:eastAsia="楷体" w:cs="宋体"/>
                <w:kern w:val="0"/>
                <w:sz w:val="22"/>
              </w:rPr>
              <w:t>可视作违法行为轻微并及时纠正，没有造成危害后果</w:t>
            </w:r>
            <w:r>
              <w:rPr>
                <w:rFonts w:hint="eastAsia" w:ascii="楷体" w:hAnsi="楷体" w:eastAsia="楷体" w:cs="宋体"/>
                <w:kern w:val="0"/>
                <w:sz w:val="22"/>
                <w:lang w:eastAsia="zh-CN"/>
              </w:rPr>
              <w:t>，不予处罚。</w:t>
            </w:r>
          </w:p>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ind w:left="0" w:leftChars="0" w:firstLine="0" w:firstLineChars="0"/>
              <w:jc w:val="left"/>
              <w:textAlignment w:val="auto"/>
              <w:outlineLvl w:val="9"/>
              <w:rPr>
                <w:rFonts w:hint="eastAsia" w:ascii="楷体" w:hAnsi="楷体" w:eastAsia="楷体" w:cs="楷体"/>
                <w:b w:val="0"/>
                <w:bCs w:val="0"/>
                <w:color w:val="auto"/>
                <w:kern w:val="0"/>
                <w:sz w:val="22"/>
                <w:szCs w:val="22"/>
              </w:rPr>
            </w:pPr>
            <w:r>
              <w:rPr>
                <w:rFonts w:hint="eastAsia" w:ascii="楷体" w:hAnsi="楷体" w:eastAsia="楷体" w:cs="宋体"/>
                <w:kern w:val="0"/>
                <w:sz w:val="22"/>
                <w:lang w:eastAsia="zh-CN"/>
              </w:rPr>
              <w:t>（</w:t>
            </w:r>
            <w:r>
              <w:rPr>
                <w:rFonts w:hint="eastAsia" w:ascii="楷体" w:hAnsi="楷体" w:eastAsia="楷体" w:cs="宋体"/>
                <w:kern w:val="0"/>
                <w:sz w:val="22"/>
                <w:lang w:val="en-US" w:eastAsia="zh-CN"/>
              </w:rPr>
              <w:t>2</w:t>
            </w:r>
            <w:r>
              <w:rPr>
                <w:rFonts w:hint="eastAsia" w:ascii="楷体" w:hAnsi="楷体" w:eastAsia="楷体" w:cs="宋体"/>
                <w:kern w:val="0"/>
                <w:sz w:val="22"/>
                <w:lang w:eastAsia="zh-CN"/>
              </w:rPr>
              <w:t>）同时满足以下情形的，视为初次违法且危害后果轻微并及时改正，不予处罚：①首次出现；②属于个别人或个别部门行为；③造成基金损失在</w:t>
            </w:r>
            <w:r>
              <w:rPr>
                <w:rFonts w:hint="eastAsia" w:ascii="楷体" w:hAnsi="楷体" w:eastAsia="楷体" w:cs="宋体"/>
                <w:kern w:val="0"/>
                <w:sz w:val="22"/>
                <w:lang w:val="en-US" w:eastAsia="zh-CN"/>
              </w:rPr>
              <w:t>1万</w:t>
            </w:r>
            <w:r>
              <w:rPr>
                <w:rFonts w:hint="eastAsia" w:ascii="楷体" w:hAnsi="楷体" w:eastAsia="楷体" w:cs="宋体"/>
                <w:kern w:val="0"/>
                <w:sz w:val="22"/>
                <w:lang w:eastAsia="zh-CN"/>
              </w:rPr>
              <w:t>元以下；④及时改正；⑤没有从重情节的；⑥未发现以骗取医疗保障基金为目的。</w:t>
            </w:r>
          </w:p>
        </w:tc>
      </w:tr>
      <w:tr>
        <w:tblPrEx>
          <w:tblCellMar>
            <w:top w:w="0" w:type="dxa"/>
            <w:left w:w="108" w:type="dxa"/>
            <w:bottom w:w="0" w:type="dxa"/>
            <w:right w:w="108" w:type="dxa"/>
          </w:tblCellMar>
        </w:tblPrEx>
        <w:trPr>
          <w:trHeight w:val="2190" w:hRule="atLeast"/>
          <w:tblHeader/>
        </w:trPr>
        <w:tc>
          <w:tcPr>
            <w:tcW w:w="488" w:type="dxa"/>
            <w:vMerge w:val="continue"/>
            <w:tcBorders>
              <w:top w:val="single" w:color="auto" w:sz="4" w:space="0"/>
              <w:left w:val="single" w:color="auto"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lang w:val="en-US" w:eastAsia="zh-CN"/>
              </w:rPr>
            </w:pPr>
          </w:p>
        </w:tc>
        <w:tc>
          <w:tcPr>
            <w:tcW w:w="4337" w:type="dxa"/>
            <w:vMerge w:val="continue"/>
            <w:tcBorders>
              <w:top w:val="single" w:color="auto" w:sz="4" w:space="0"/>
              <w:left w:val="single" w:color="000000" w:sz="4" w:space="0"/>
              <w:bottom w:val="single" w:color="000000" w:sz="4" w:space="0"/>
              <w:right w:val="single" w:color="000000" w:sz="4" w:space="0"/>
            </w:tcBorders>
            <w:vAlign w:val="center"/>
          </w:tcPr>
          <w:p>
            <w:pPr>
              <w:pStyle w:val="2"/>
              <w:rPr>
                <w:rFonts w:hint="eastAsia" w:ascii="楷体" w:hAnsi="楷体" w:eastAsia="楷体" w:cs="楷体"/>
                <w:b w:val="0"/>
                <w:bCs w:val="0"/>
                <w:color w:val="auto"/>
                <w:kern w:val="0"/>
                <w:sz w:val="22"/>
                <w:szCs w:val="22"/>
              </w:rPr>
            </w:pPr>
          </w:p>
        </w:tc>
        <w:tc>
          <w:tcPr>
            <w:tcW w:w="2385"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楷体" w:hAnsi="楷体" w:eastAsia="楷体" w:cs="楷体"/>
                <w:b w:val="0"/>
                <w:bCs w:val="0"/>
                <w:color w:val="auto"/>
                <w:kern w:val="0"/>
                <w:sz w:val="22"/>
                <w:szCs w:val="22"/>
                <w:lang w:eastAsia="zh-CN"/>
              </w:rPr>
            </w:pPr>
          </w:p>
        </w:tc>
        <w:tc>
          <w:tcPr>
            <w:tcW w:w="3840" w:type="dxa"/>
            <w:vMerge w:val="continue"/>
            <w:tcBorders>
              <w:top w:val="single" w:color="auto" w:sz="4" w:space="0"/>
              <w:left w:val="single" w:color="000000" w:sz="4" w:space="0"/>
              <w:bottom w:val="single" w:color="000000" w:sz="4" w:space="0"/>
              <w:right w:val="single" w:color="000000" w:sz="4" w:space="0"/>
            </w:tcBorders>
            <w:vAlign w:val="center"/>
          </w:tcPr>
          <w:p>
            <w:pPr>
              <w:widowControl/>
              <w:ind w:firstLine="4" w:firstLineChars="2"/>
              <w:jc w:val="left"/>
              <w:rPr>
                <w:rFonts w:hint="eastAsia" w:ascii="楷体" w:hAnsi="楷体" w:eastAsia="楷体" w:cs="楷体"/>
                <w:b w:val="0"/>
                <w:bCs w:val="0"/>
                <w:color w:val="auto"/>
                <w:kern w:val="0"/>
                <w:sz w:val="22"/>
                <w:szCs w:val="22"/>
              </w:rPr>
            </w:pPr>
          </w:p>
        </w:tc>
        <w:tc>
          <w:tcPr>
            <w:tcW w:w="423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jc w:val="both"/>
              <w:textAlignment w:val="auto"/>
              <w:outlineLvl w:val="9"/>
              <w:rPr>
                <w:rFonts w:hint="eastAsia" w:ascii="楷体" w:hAnsi="楷体" w:eastAsia="楷体" w:cs="宋体"/>
                <w:kern w:val="0"/>
                <w:sz w:val="22"/>
                <w:lang w:eastAsia="zh-CN"/>
              </w:rPr>
            </w:pPr>
            <w:r>
              <w:rPr>
                <w:rFonts w:hint="eastAsia" w:ascii="楷体" w:hAnsi="楷体" w:eastAsia="楷体" w:cs="宋体"/>
                <w:kern w:val="0"/>
                <w:sz w:val="22"/>
                <w:lang w:val="en-US" w:eastAsia="zh-CN"/>
              </w:rPr>
              <w:t>在退回期限内退回违规使用的医保基金的</w:t>
            </w:r>
            <w:r>
              <w:rPr>
                <w:rFonts w:hint="eastAsia" w:ascii="楷体" w:hAnsi="楷体" w:eastAsia="楷体" w:cs="宋体"/>
                <w:kern w:val="0"/>
                <w:sz w:val="22"/>
                <w:lang w:eastAsia="zh-CN"/>
              </w:rPr>
              <w:t>且符合以下情形之一的：</w:t>
            </w:r>
          </w:p>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jc w:val="both"/>
              <w:textAlignment w:val="auto"/>
              <w:outlineLvl w:val="9"/>
              <w:rPr>
                <w:rFonts w:hint="eastAsia" w:ascii="楷体" w:hAnsi="楷体" w:eastAsia="楷体" w:cs="宋体"/>
                <w:kern w:val="0"/>
                <w:sz w:val="22"/>
                <w:lang w:eastAsia="zh-CN"/>
              </w:rPr>
            </w:pPr>
            <w:r>
              <w:rPr>
                <w:rFonts w:hint="eastAsia" w:ascii="楷体" w:hAnsi="楷体" w:eastAsia="楷体" w:cs="宋体"/>
                <w:kern w:val="0"/>
                <w:sz w:val="22"/>
                <w:lang w:eastAsia="zh-CN"/>
              </w:rPr>
              <w:t>（</w:t>
            </w:r>
            <w:r>
              <w:rPr>
                <w:rFonts w:hint="eastAsia" w:ascii="楷体" w:hAnsi="楷体" w:eastAsia="楷体" w:cs="宋体"/>
                <w:kern w:val="0"/>
                <w:sz w:val="22"/>
                <w:lang w:val="en-US" w:eastAsia="zh-CN"/>
              </w:rPr>
              <w:t>1</w:t>
            </w:r>
            <w:r>
              <w:rPr>
                <w:rFonts w:hint="eastAsia" w:ascii="楷体" w:hAnsi="楷体" w:eastAsia="楷体" w:cs="宋体"/>
                <w:kern w:val="0"/>
                <w:sz w:val="22"/>
                <w:lang w:eastAsia="zh-CN"/>
              </w:rPr>
              <w:t>）多发此类情形，为多人或多部门行为的</w:t>
            </w:r>
            <w:r>
              <w:rPr>
                <w:rFonts w:hint="eastAsia" w:ascii="楷体" w:hAnsi="楷体" w:eastAsia="楷体" w:cs="楷体"/>
                <w:b w:val="0"/>
                <w:bCs w:val="0"/>
                <w:color w:val="auto"/>
                <w:kern w:val="0"/>
                <w:sz w:val="22"/>
                <w:szCs w:val="22"/>
                <w:lang w:val="en-US" w:eastAsia="zh-CN"/>
              </w:rPr>
              <w:t>，</w:t>
            </w:r>
            <w:r>
              <w:rPr>
                <w:rFonts w:hint="eastAsia" w:ascii="楷体" w:hAnsi="楷体" w:eastAsia="楷体" w:cs="宋体"/>
                <w:kern w:val="0"/>
                <w:sz w:val="22"/>
                <w:lang w:eastAsia="zh-CN"/>
              </w:rPr>
              <w:t>未发现以骗取医疗保障基金为目的的</w:t>
            </w:r>
          </w:p>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ind w:left="4" w:leftChars="2" w:firstLine="0" w:firstLineChars="0"/>
              <w:jc w:val="both"/>
              <w:textAlignment w:val="auto"/>
              <w:outlineLvl w:val="9"/>
              <w:rPr>
                <w:rFonts w:hint="eastAsia" w:ascii="楷体" w:hAnsi="楷体" w:eastAsia="楷体" w:cs="楷体"/>
                <w:b w:val="0"/>
                <w:bCs w:val="0"/>
                <w:color w:val="auto"/>
                <w:kern w:val="0"/>
                <w:sz w:val="22"/>
                <w:szCs w:val="22"/>
                <w:lang w:val="en-US" w:eastAsia="zh-CN"/>
              </w:rPr>
            </w:pPr>
            <w:r>
              <w:rPr>
                <w:rFonts w:hint="eastAsia" w:ascii="楷体" w:hAnsi="楷体" w:eastAsia="楷体" w:cs="宋体"/>
                <w:kern w:val="0"/>
                <w:sz w:val="22"/>
                <w:lang w:eastAsia="zh-CN"/>
              </w:rPr>
              <w:t>（</w:t>
            </w:r>
            <w:r>
              <w:rPr>
                <w:rFonts w:hint="eastAsia" w:ascii="楷体" w:hAnsi="楷体" w:eastAsia="楷体" w:cs="宋体"/>
                <w:kern w:val="0"/>
                <w:sz w:val="22"/>
                <w:lang w:val="en-US" w:eastAsia="zh-CN"/>
              </w:rPr>
              <w:t>2</w:t>
            </w:r>
            <w:r>
              <w:rPr>
                <w:rFonts w:hint="eastAsia" w:ascii="楷体" w:hAnsi="楷体" w:eastAsia="楷体" w:cs="宋体"/>
                <w:kern w:val="0"/>
                <w:sz w:val="22"/>
                <w:lang w:eastAsia="zh-CN"/>
              </w:rPr>
              <w:t>）</w:t>
            </w:r>
            <w:r>
              <w:rPr>
                <w:rFonts w:hint="eastAsia" w:ascii="楷体" w:hAnsi="楷体" w:eastAsia="楷体" w:cs="宋体"/>
                <w:kern w:val="0"/>
                <w:sz w:val="22"/>
              </w:rPr>
              <w:t>造成基金损失</w:t>
            </w:r>
            <w:r>
              <w:rPr>
                <w:rFonts w:hint="eastAsia" w:ascii="楷体" w:hAnsi="楷体" w:eastAsia="楷体" w:cs="宋体"/>
                <w:kern w:val="0"/>
                <w:sz w:val="22"/>
                <w:lang w:val="en-US" w:eastAsia="zh-CN"/>
              </w:rPr>
              <w:t>1万元以上10万元以下的</w:t>
            </w:r>
            <w:r>
              <w:rPr>
                <w:rFonts w:hint="eastAsia" w:ascii="楷体" w:hAnsi="楷体" w:eastAsia="楷体" w:cs="楷体"/>
                <w:b w:val="0"/>
                <w:bCs w:val="0"/>
                <w:color w:val="auto"/>
                <w:kern w:val="0"/>
                <w:sz w:val="22"/>
                <w:szCs w:val="22"/>
                <w:lang w:val="en-US" w:eastAsia="zh-CN"/>
              </w:rPr>
              <w:t>，</w:t>
            </w:r>
            <w:r>
              <w:rPr>
                <w:rFonts w:hint="eastAsia" w:ascii="楷体" w:hAnsi="楷体" w:eastAsia="楷体" w:cs="宋体"/>
                <w:kern w:val="0"/>
                <w:sz w:val="22"/>
                <w:lang w:eastAsia="zh-CN"/>
              </w:rPr>
              <w:t>未发现以骗取医疗保障基金为目的的</w:t>
            </w:r>
          </w:p>
        </w:tc>
        <w:tc>
          <w:tcPr>
            <w:tcW w:w="3855" w:type="dxa"/>
            <w:tcBorders>
              <w:top w:val="single" w:color="auto" w:sz="4" w:space="0"/>
              <w:left w:val="single" w:color="000000" w:sz="4" w:space="0"/>
              <w:bottom w:val="single" w:color="000000" w:sz="4" w:space="0"/>
              <w:right w:val="single" w:color="000000" w:sz="4" w:space="0"/>
            </w:tcBorders>
            <w:vAlign w:val="center"/>
          </w:tcPr>
          <w:p>
            <w:pPr>
              <w:widowControl/>
              <w:jc w:val="both"/>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约谈有关负责人、</w:t>
            </w:r>
            <w:r>
              <w:rPr>
                <w:rFonts w:hint="eastAsia" w:ascii="楷体" w:hAnsi="楷体" w:eastAsia="楷体" w:cs="宋体"/>
                <w:kern w:val="0"/>
                <w:sz w:val="22"/>
              </w:rPr>
              <w:t>按照</w:t>
            </w:r>
            <w:r>
              <w:rPr>
                <w:rFonts w:hint="eastAsia" w:ascii="楷体" w:hAnsi="楷体" w:eastAsia="楷体" w:cs="宋体"/>
                <w:kern w:val="0"/>
                <w:sz w:val="22"/>
                <w:lang w:val="en-US" w:eastAsia="zh-CN"/>
              </w:rPr>
              <w:t>1</w:t>
            </w:r>
            <w:r>
              <w:rPr>
                <w:rFonts w:hint="eastAsia" w:ascii="楷体" w:hAnsi="楷体" w:eastAsia="楷体" w:cs="宋体"/>
                <w:kern w:val="0"/>
                <w:sz w:val="22"/>
              </w:rPr>
              <w:t>倍以上</w:t>
            </w:r>
            <w:r>
              <w:rPr>
                <w:rFonts w:hint="eastAsia" w:ascii="楷体" w:hAnsi="楷体" w:eastAsia="楷体" w:cs="宋体"/>
                <w:kern w:val="0"/>
                <w:sz w:val="22"/>
                <w:lang w:val="en-US" w:eastAsia="zh-CN"/>
              </w:rPr>
              <w:t>2</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p>
        </w:tc>
        <w:tc>
          <w:tcPr>
            <w:tcW w:w="1953" w:type="dxa"/>
            <w:vMerge w:val="continue"/>
            <w:tcBorders>
              <w:top w:val="single" w:color="auto" w:sz="4" w:space="0"/>
              <w:left w:val="single" w:color="000000" w:sz="4" w:space="0"/>
              <w:right w:val="single" w:color="auto" w:sz="4" w:space="0"/>
            </w:tcBorders>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ind w:left="0" w:leftChars="0" w:firstLine="0" w:firstLineChars="0"/>
              <w:jc w:val="left"/>
              <w:textAlignment w:val="auto"/>
              <w:outlineLvl w:val="9"/>
              <w:rPr>
                <w:rFonts w:hint="eastAsia" w:ascii="楷体" w:hAnsi="楷体" w:eastAsia="楷体" w:cs="宋体"/>
                <w:kern w:val="0"/>
                <w:sz w:val="22"/>
                <w:lang w:eastAsia="zh-CN"/>
              </w:rPr>
            </w:pPr>
          </w:p>
        </w:tc>
      </w:tr>
      <w:tr>
        <w:tblPrEx>
          <w:tblCellMar>
            <w:top w:w="0" w:type="dxa"/>
            <w:left w:w="108" w:type="dxa"/>
            <w:bottom w:w="0" w:type="dxa"/>
            <w:right w:w="108" w:type="dxa"/>
          </w:tblCellMar>
        </w:tblPrEx>
        <w:trPr>
          <w:trHeight w:val="1462" w:hRule="atLeast"/>
          <w:tblHeader/>
        </w:trPr>
        <w:tc>
          <w:tcPr>
            <w:tcW w:w="488" w:type="dxa"/>
            <w:vMerge w:val="continue"/>
            <w:tcBorders>
              <w:top w:val="single" w:color="000000" w:sz="4" w:space="0"/>
              <w:left w:val="single" w:color="auto"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lang w:val="en-US" w:eastAsia="zh-CN"/>
              </w:rPr>
            </w:pPr>
          </w:p>
        </w:tc>
        <w:tc>
          <w:tcPr>
            <w:tcW w:w="4337"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hint="eastAsia" w:ascii="楷体" w:hAnsi="楷体" w:eastAsia="楷体" w:cs="楷体"/>
                <w:b w:val="0"/>
                <w:bCs w:val="0"/>
                <w:color w:val="auto"/>
                <w:kern w:val="0"/>
                <w:sz w:val="22"/>
                <w:szCs w:val="22"/>
              </w:rPr>
            </w:pPr>
          </w:p>
        </w:tc>
        <w:tc>
          <w:tcPr>
            <w:tcW w:w="23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楷体" w:hAnsi="楷体" w:eastAsia="楷体" w:cs="楷体"/>
                <w:b w:val="0"/>
                <w:bCs w:val="0"/>
                <w:color w:val="auto"/>
                <w:kern w:val="0"/>
                <w:sz w:val="22"/>
                <w:szCs w:val="22"/>
                <w:lang w:eastAsia="zh-CN"/>
              </w:rPr>
            </w:pPr>
          </w:p>
        </w:tc>
        <w:tc>
          <w:tcPr>
            <w:tcW w:w="3840"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left"/>
              <w:rPr>
                <w:rFonts w:hint="eastAsia" w:ascii="楷体" w:hAnsi="楷体" w:eastAsia="楷体" w:cs="楷体"/>
                <w:b w:val="0"/>
                <w:bCs w:val="0"/>
                <w:color w:val="auto"/>
                <w:kern w:val="0"/>
                <w:sz w:val="22"/>
                <w:szCs w:val="22"/>
              </w:rPr>
            </w:pP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ind w:left="4" w:leftChars="2" w:firstLine="0" w:firstLineChars="0"/>
              <w:jc w:val="both"/>
              <w:textAlignment w:val="auto"/>
              <w:outlineLvl w:val="9"/>
              <w:rPr>
                <w:rFonts w:hint="default" w:ascii="楷体" w:hAnsi="楷体" w:eastAsia="楷体" w:cs="宋体"/>
                <w:kern w:val="0"/>
                <w:sz w:val="22"/>
                <w:lang w:val="en-US" w:eastAsia="zh-CN"/>
              </w:rPr>
            </w:pPr>
            <w:r>
              <w:rPr>
                <w:rFonts w:hint="eastAsia" w:ascii="楷体" w:hAnsi="楷体" w:eastAsia="楷体" w:cs="宋体"/>
                <w:kern w:val="0"/>
                <w:sz w:val="22"/>
                <w:lang w:eastAsia="zh-CN"/>
              </w:rPr>
              <w:t>以骗取医疗保障基金为目的的，造成基金损失</w:t>
            </w:r>
            <w:r>
              <w:rPr>
                <w:rFonts w:hint="eastAsia" w:ascii="楷体" w:hAnsi="楷体" w:eastAsia="楷体" w:cs="宋体"/>
                <w:kern w:val="0"/>
                <w:sz w:val="22"/>
                <w:lang w:val="en-US" w:eastAsia="zh-CN"/>
              </w:rPr>
              <w:t>1万元以下的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楷体" w:hAnsi="楷体" w:eastAsia="楷体" w:cs="楷体"/>
                <w:b w:val="0"/>
                <w:bCs w:val="0"/>
                <w:color w:val="auto"/>
                <w:kern w:val="0"/>
                <w:sz w:val="22"/>
                <w:szCs w:val="22"/>
                <w:lang w:eastAsia="zh-CN"/>
              </w:rPr>
            </w:pPr>
            <w:r>
              <w:rPr>
                <w:rFonts w:hint="eastAsia" w:ascii="楷体" w:hAnsi="楷体" w:eastAsia="楷体" w:cs="宋体"/>
                <w:kern w:val="0"/>
                <w:sz w:val="22"/>
              </w:rPr>
              <w:t>按照</w:t>
            </w:r>
            <w:r>
              <w:rPr>
                <w:rFonts w:hint="eastAsia" w:ascii="楷体" w:hAnsi="楷体" w:eastAsia="楷体" w:cs="宋体"/>
                <w:kern w:val="0"/>
                <w:sz w:val="22"/>
                <w:lang w:val="en-US" w:eastAsia="zh-CN"/>
              </w:rPr>
              <w:t>2</w:t>
            </w:r>
            <w:r>
              <w:rPr>
                <w:rFonts w:hint="eastAsia" w:ascii="楷体" w:hAnsi="楷体" w:eastAsia="楷体" w:cs="宋体"/>
                <w:kern w:val="0"/>
                <w:sz w:val="22"/>
              </w:rPr>
              <w:t>倍以上</w:t>
            </w:r>
            <w:r>
              <w:rPr>
                <w:rFonts w:hint="eastAsia" w:ascii="楷体" w:hAnsi="楷体" w:eastAsia="楷体" w:cs="宋体"/>
                <w:kern w:val="0"/>
                <w:sz w:val="22"/>
                <w:lang w:val="en-US" w:eastAsia="zh-CN"/>
              </w:rPr>
              <w:t>3</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r>
              <w:rPr>
                <w:rFonts w:hint="eastAsia" w:ascii="楷体" w:hAnsi="楷体" w:eastAsia="楷体" w:cs="宋体"/>
                <w:kern w:val="0"/>
                <w:sz w:val="22"/>
                <w:lang w:eastAsia="zh-CN"/>
              </w:rPr>
              <w:t>，</w:t>
            </w:r>
            <w:r>
              <w:rPr>
                <w:rFonts w:hint="eastAsia" w:ascii="楷体" w:hAnsi="楷体" w:eastAsia="楷体" w:cs="楷体"/>
                <w:b w:val="0"/>
                <w:bCs w:val="0"/>
                <w:color w:val="auto"/>
                <w:kern w:val="0"/>
                <w:sz w:val="22"/>
                <w:szCs w:val="22"/>
              </w:rPr>
              <w:t>责令定点医药机构暂停相关责任部门6个月以上</w:t>
            </w:r>
            <w:r>
              <w:rPr>
                <w:rFonts w:hint="eastAsia" w:ascii="楷体" w:hAnsi="楷体" w:eastAsia="楷体" w:cs="楷体"/>
                <w:b w:val="0"/>
                <w:bCs w:val="0"/>
                <w:color w:val="auto"/>
                <w:kern w:val="0"/>
                <w:sz w:val="22"/>
                <w:szCs w:val="22"/>
                <w:lang w:val="en-US" w:eastAsia="zh-CN"/>
              </w:rPr>
              <w:t>9个月</w:t>
            </w:r>
            <w:r>
              <w:rPr>
                <w:rFonts w:hint="eastAsia" w:ascii="楷体" w:hAnsi="楷体" w:eastAsia="楷体" w:cs="楷体"/>
                <w:b w:val="0"/>
                <w:bCs w:val="0"/>
                <w:color w:val="auto"/>
                <w:kern w:val="0"/>
                <w:sz w:val="22"/>
                <w:szCs w:val="22"/>
              </w:rPr>
              <w:t>以下涉及医疗保障基金使用的医药服务</w:t>
            </w:r>
          </w:p>
        </w:tc>
        <w:tc>
          <w:tcPr>
            <w:tcW w:w="1953" w:type="dxa"/>
            <w:vMerge w:val="continue"/>
            <w:tcBorders>
              <w:left w:val="single" w:color="000000" w:sz="4" w:space="0"/>
              <w:right w:val="single" w:color="auto" w:sz="4" w:space="0"/>
            </w:tcBorders>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ind w:left="0" w:leftChars="0" w:firstLine="0" w:firstLineChars="0"/>
              <w:jc w:val="left"/>
              <w:textAlignment w:val="auto"/>
              <w:outlineLvl w:val="9"/>
              <w:rPr>
                <w:rFonts w:hint="eastAsia" w:ascii="楷体" w:hAnsi="楷体" w:eastAsia="楷体" w:cs="宋体"/>
                <w:kern w:val="0"/>
                <w:sz w:val="22"/>
                <w:lang w:eastAsia="zh-CN"/>
              </w:rPr>
            </w:pPr>
          </w:p>
        </w:tc>
      </w:tr>
      <w:tr>
        <w:tblPrEx>
          <w:tblCellMar>
            <w:top w:w="0" w:type="dxa"/>
            <w:left w:w="108" w:type="dxa"/>
            <w:bottom w:w="0" w:type="dxa"/>
            <w:right w:w="108" w:type="dxa"/>
          </w:tblCellMar>
        </w:tblPrEx>
        <w:trPr>
          <w:trHeight w:val="1495" w:hRule="atLeast"/>
          <w:tblHeader/>
        </w:trPr>
        <w:tc>
          <w:tcPr>
            <w:tcW w:w="488" w:type="dxa"/>
            <w:vMerge w:val="continue"/>
            <w:tcBorders>
              <w:top w:val="single" w:color="000000" w:sz="4" w:space="0"/>
              <w:left w:val="single" w:color="auto"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lang w:val="en-US" w:eastAsia="zh-CN"/>
              </w:rPr>
            </w:pPr>
          </w:p>
        </w:tc>
        <w:tc>
          <w:tcPr>
            <w:tcW w:w="4337"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hint="eastAsia" w:ascii="楷体" w:hAnsi="楷体" w:eastAsia="楷体" w:cs="楷体"/>
                <w:b w:val="0"/>
                <w:bCs w:val="0"/>
                <w:color w:val="auto"/>
                <w:kern w:val="0"/>
                <w:sz w:val="22"/>
                <w:szCs w:val="22"/>
              </w:rPr>
            </w:pPr>
          </w:p>
        </w:tc>
        <w:tc>
          <w:tcPr>
            <w:tcW w:w="23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楷体" w:hAnsi="楷体" w:eastAsia="楷体" w:cs="楷体"/>
                <w:b w:val="0"/>
                <w:bCs w:val="0"/>
                <w:color w:val="auto"/>
                <w:kern w:val="0"/>
                <w:sz w:val="22"/>
                <w:szCs w:val="22"/>
                <w:lang w:eastAsia="zh-CN"/>
              </w:rPr>
            </w:pPr>
          </w:p>
        </w:tc>
        <w:tc>
          <w:tcPr>
            <w:tcW w:w="3840"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left"/>
              <w:rPr>
                <w:rFonts w:hint="eastAsia" w:ascii="楷体" w:hAnsi="楷体" w:eastAsia="楷体" w:cs="楷体"/>
                <w:b w:val="0"/>
                <w:bCs w:val="0"/>
                <w:color w:val="auto"/>
                <w:kern w:val="0"/>
                <w:sz w:val="22"/>
                <w:szCs w:val="22"/>
              </w:rPr>
            </w:pP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ind w:left="4" w:leftChars="2" w:firstLine="0" w:firstLineChars="0"/>
              <w:jc w:val="both"/>
              <w:textAlignment w:val="auto"/>
              <w:outlineLvl w:val="9"/>
              <w:rPr>
                <w:rFonts w:hint="eastAsia" w:ascii="楷体" w:hAnsi="楷体" w:eastAsia="楷体" w:cs="宋体"/>
                <w:kern w:val="0"/>
                <w:sz w:val="22"/>
                <w:lang w:eastAsia="zh-CN"/>
              </w:rPr>
            </w:pPr>
            <w:r>
              <w:rPr>
                <w:rFonts w:hint="eastAsia" w:ascii="楷体" w:hAnsi="楷体" w:eastAsia="楷体" w:cs="宋体"/>
                <w:kern w:val="0"/>
                <w:sz w:val="22"/>
                <w:lang w:eastAsia="zh-CN"/>
              </w:rPr>
              <w:t>以骗取医疗保障基金为目的的，造成基金损失</w:t>
            </w:r>
            <w:r>
              <w:rPr>
                <w:rFonts w:hint="eastAsia" w:ascii="楷体" w:hAnsi="楷体" w:eastAsia="楷体" w:cs="宋体"/>
                <w:kern w:val="0"/>
                <w:sz w:val="22"/>
                <w:lang w:val="en-US" w:eastAsia="zh-CN"/>
              </w:rPr>
              <w:t>1万元以上10万元以下的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楷体" w:hAnsi="楷体" w:eastAsia="楷体" w:cs="楷体"/>
                <w:b w:val="0"/>
                <w:bCs w:val="0"/>
                <w:color w:val="auto"/>
                <w:kern w:val="0"/>
                <w:sz w:val="22"/>
                <w:szCs w:val="22"/>
                <w:lang w:eastAsia="zh-CN"/>
              </w:rPr>
            </w:pPr>
            <w:r>
              <w:rPr>
                <w:rFonts w:hint="eastAsia" w:ascii="楷体" w:hAnsi="楷体" w:eastAsia="楷体" w:cs="宋体"/>
                <w:kern w:val="0"/>
                <w:sz w:val="22"/>
              </w:rPr>
              <w:t>按照</w:t>
            </w:r>
            <w:r>
              <w:rPr>
                <w:rFonts w:hint="eastAsia" w:ascii="楷体" w:hAnsi="楷体" w:eastAsia="楷体" w:cs="宋体"/>
                <w:kern w:val="0"/>
                <w:sz w:val="22"/>
                <w:lang w:val="en-US" w:eastAsia="zh-CN"/>
              </w:rPr>
              <w:t>3</w:t>
            </w:r>
            <w:r>
              <w:rPr>
                <w:rFonts w:hint="eastAsia" w:ascii="楷体" w:hAnsi="楷体" w:eastAsia="楷体" w:cs="宋体"/>
                <w:kern w:val="0"/>
                <w:sz w:val="22"/>
              </w:rPr>
              <w:t>倍以上</w:t>
            </w:r>
            <w:r>
              <w:rPr>
                <w:rFonts w:hint="eastAsia" w:ascii="楷体" w:hAnsi="楷体" w:eastAsia="楷体" w:cs="宋体"/>
                <w:kern w:val="0"/>
                <w:sz w:val="22"/>
                <w:lang w:val="en-US" w:eastAsia="zh-CN"/>
              </w:rPr>
              <w:t>4</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r>
              <w:rPr>
                <w:rFonts w:hint="eastAsia" w:ascii="楷体" w:hAnsi="楷体" w:eastAsia="楷体" w:cs="宋体"/>
                <w:kern w:val="0"/>
                <w:sz w:val="22"/>
                <w:lang w:eastAsia="zh-CN"/>
              </w:rPr>
              <w:t>，</w:t>
            </w:r>
            <w:r>
              <w:rPr>
                <w:rFonts w:hint="eastAsia" w:ascii="楷体" w:hAnsi="楷体" w:eastAsia="楷体" w:cs="楷体"/>
                <w:b w:val="0"/>
                <w:bCs w:val="0"/>
                <w:color w:val="auto"/>
                <w:kern w:val="0"/>
                <w:sz w:val="22"/>
                <w:szCs w:val="22"/>
              </w:rPr>
              <w:t>责令定点医药机构暂停相关责任部门</w:t>
            </w:r>
            <w:r>
              <w:rPr>
                <w:rFonts w:hint="eastAsia" w:ascii="楷体" w:hAnsi="楷体" w:eastAsia="楷体" w:cs="楷体"/>
                <w:b w:val="0"/>
                <w:bCs w:val="0"/>
                <w:color w:val="auto"/>
                <w:kern w:val="0"/>
                <w:sz w:val="22"/>
                <w:szCs w:val="22"/>
                <w:lang w:val="en-US" w:eastAsia="zh-CN"/>
              </w:rPr>
              <w:t>9</w:t>
            </w:r>
            <w:r>
              <w:rPr>
                <w:rFonts w:hint="eastAsia" w:ascii="楷体" w:hAnsi="楷体" w:eastAsia="楷体" w:cs="楷体"/>
                <w:b w:val="0"/>
                <w:bCs w:val="0"/>
                <w:color w:val="auto"/>
                <w:kern w:val="0"/>
                <w:sz w:val="22"/>
                <w:szCs w:val="22"/>
              </w:rPr>
              <w:t>个月以上1年以下涉及医疗保障基金使用的医药服务</w:t>
            </w:r>
          </w:p>
        </w:tc>
        <w:tc>
          <w:tcPr>
            <w:tcW w:w="1953" w:type="dxa"/>
            <w:vMerge w:val="continue"/>
            <w:tcBorders>
              <w:left w:val="single" w:color="000000" w:sz="4" w:space="0"/>
              <w:right w:val="single" w:color="auto" w:sz="4" w:space="0"/>
            </w:tcBorders>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ind w:left="0" w:leftChars="0" w:firstLine="0" w:firstLineChars="0"/>
              <w:jc w:val="left"/>
              <w:textAlignment w:val="auto"/>
              <w:outlineLvl w:val="9"/>
              <w:rPr>
                <w:rFonts w:hint="eastAsia" w:ascii="楷体" w:hAnsi="楷体" w:eastAsia="楷体" w:cs="宋体"/>
                <w:kern w:val="0"/>
                <w:sz w:val="22"/>
                <w:lang w:eastAsia="zh-CN"/>
              </w:rPr>
            </w:pPr>
          </w:p>
        </w:tc>
      </w:tr>
      <w:tr>
        <w:tblPrEx>
          <w:tblCellMar>
            <w:top w:w="0" w:type="dxa"/>
            <w:left w:w="108" w:type="dxa"/>
            <w:bottom w:w="0" w:type="dxa"/>
            <w:right w:w="108" w:type="dxa"/>
          </w:tblCellMar>
        </w:tblPrEx>
        <w:trPr>
          <w:trHeight w:val="3696" w:hRule="atLeast"/>
          <w:tblHeader/>
        </w:trPr>
        <w:tc>
          <w:tcPr>
            <w:tcW w:w="488" w:type="dxa"/>
            <w:vMerge w:val="continue"/>
            <w:tcBorders>
              <w:top w:val="single" w:color="000000" w:sz="4" w:space="0"/>
              <w:left w:val="single" w:color="auto"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lang w:val="en-US" w:eastAsia="zh-CN"/>
              </w:rPr>
            </w:pPr>
          </w:p>
        </w:tc>
        <w:tc>
          <w:tcPr>
            <w:tcW w:w="4337" w:type="dxa"/>
            <w:vMerge w:val="continue"/>
            <w:tcBorders>
              <w:top w:val="single" w:color="000000" w:sz="4" w:space="0"/>
              <w:left w:val="single" w:color="000000" w:sz="4" w:space="0"/>
              <w:bottom w:val="single" w:color="000000" w:sz="4" w:space="0"/>
              <w:right w:val="single" w:color="000000" w:sz="4" w:space="0"/>
            </w:tcBorders>
            <w:vAlign w:val="center"/>
          </w:tcPr>
          <w:p>
            <w:pPr>
              <w:pStyle w:val="2"/>
              <w:rPr>
                <w:rFonts w:hint="eastAsia" w:ascii="楷体" w:hAnsi="楷体" w:eastAsia="楷体" w:cs="楷体"/>
                <w:b w:val="0"/>
                <w:bCs w:val="0"/>
                <w:color w:val="auto"/>
                <w:kern w:val="0"/>
                <w:sz w:val="22"/>
                <w:szCs w:val="22"/>
              </w:rPr>
            </w:pPr>
          </w:p>
        </w:tc>
        <w:tc>
          <w:tcPr>
            <w:tcW w:w="23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楷体" w:hAnsi="楷体" w:eastAsia="楷体" w:cs="楷体"/>
                <w:b w:val="0"/>
                <w:bCs w:val="0"/>
                <w:color w:val="auto"/>
                <w:kern w:val="0"/>
                <w:sz w:val="22"/>
                <w:szCs w:val="22"/>
                <w:lang w:eastAsia="zh-CN"/>
              </w:rPr>
            </w:pPr>
          </w:p>
        </w:tc>
        <w:tc>
          <w:tcPr>
            <w:tcW w:w="3840"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left"/>
              <w:rPr>
                <w:rFonts w:hint="eastAsia" w:ascii="楷体" w:hAnsi="楷体" w:eastAsia="楷体" w:cs="楷体"/>
                <w:b w:val="0"/>
                <w:bCs w:val="0"/>
                <w:color w:val="auto"/>
                <w:kern w:val="0"/>
                <w:sz w:val="22"/>
                <w:szCs w:val="22"/>
              </w:rPr>
            </w:pP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jc w:val="both"/>
              <w:textAlignment w:val="auto"/>
              <w:outlineLvl w:val="9"/>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符合下列情形之一的：</w:t>
            </w:r>
          </w:p>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jc w:val="both"/>
              <w:textAlignment w:val="auto"/>
              <w:outlineLvl w:val="9"/>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w:t>
            </w:r>
            <w:r>
              <w:rPr>
                <w:rFonts w:hint="eastAsia" w:ascii="楷体" w:hAnsi="楷体" w:eastAsia="楷体" w:cs="楷体"/>
                <w:b w:val="0"/>
                <w:bCs w:val="0"/>
                <w:color w:val="auto"/>
                <w:kern w:val="0"/>
                <w:sz w:val="22"/>
                <w:szCs w:val="22"/>
                <w:lang w:val="en-US" w:eastAsia="zh-CN"/>
              </w:rPr>
              <w:t>1</w:t>
            </w:r>
            <w:r>
              <w:rPr>
                <w:rFonts w:hint="eastAsia" w:ascii="楷体" w:hAnsi="楷体" w:eastAsia="楷体" w:cs="楷体"/>
                <w:b w:val="0"/>
                <w:bCs w:val="0"/>
                <w:color w:val="auto"/>
                <w:kern w:val="0"/>
                <w:sz w:val="22"/>
                <w:szCs w:val="22"/>
                <w:lang w:eastAsia="zh-CN"/>
              </w:rPr>
              <w:t>）拒不改正的</w:t>
            </w:r>
          </w:p>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jc w:val="both"/>
              <w:textAlignment w:val="auto"/>
              <w:outlineLvl w:val="9"/>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w:t>
            </w:r>
            <w:r>
              <w:rPr>
                <w:rFonts w:hint="eastAsia" w:ascii="楷体" w:hAnsi="楷体" w:eastAsia="楷体" w:cs="楷体"/>
                <w:b w:val="0"/>
                <w:bCs w:val="0"/>
                <w:color w:val="auto"/>
                <w:kern w:val="0"/>
                <w:sz w:val="22"/>
                <w:szCs w:val="22"/>
                <w:lang w:val="en-US" w:eastAsia="zh-CN"/>
              </w:rPr>
              <w:t>2</w:t>
            </w:r>
            <w:r>
              <w:rPr>
                <w:rFonts w:hint="eastAsia" w:ascii="楷体" w:hAnsi="楷体" w:eastAsia="楷体" w:cs="楷体"/>
                <w:b w:val="0"/>
                <w:bCs w:val="0"/>
                <w:color w:val="auto"/>
                <w:kern w:val="0"/>
                <w:sz w:val="22"/>
                <w:szCs w:val="22"/>
                <w:lang w:eastAsia="zh-CN"/>
              </w:rPr>
              <w:t>）造成基金损失</w:t>
            </w:r>
            <w:r>
              <w:rPr>
                <w:rFonts w:hint="eastAsia" w:ascii="楷体" w:hAnsi="楷体" w:eastAsia="楷体" w:cs="楷体"/>
                <w:b w:val="0"/>
                <w:bCs w:val="0"/>
                <w:color w:val="auto"/>
                <w:kern w:val="0"/>
                <w:sz w:val="22"/>
                <w:szCs w:val="22"/>
                <w:lang w:val="en-US" w:eastAsia="zh-CN"/>
              </w:rPr>
              <w:t>10万</w:t>
            </w:r>
            <w:r>
              <w:rPr>
                <w:rFonts w:hint="eastAsia" w:ascii="楷体" w:hAnsi="楷体" w:eastAsia="楷体" w:cs="楷体"/>
                <w:b w:val="0"/>
                <w:bCs w:val="0"/>
                <w:color w:val="auto"/>
                <w:kern w:val="0"/>
                <w:sz w:val="22"/>
                <w:szCs w:val="22"/>
                <w:lang w:eastAsia="zh-CN"/>
              </w:rPr>
              <w:t>元以上的</w:t>
            </w:r>
          </w:p>
          <w:p>
            <w:pPr>
              <w:pStyle w:val="2"/>
              <w:jc w:val="both"/>
              <w:rPr>
                <w:rFonts w:hint="eastAsia" w:ascii="楷体" w:hAnsi="楷体" w:eastAsia="楷体" w:cs="楷体"/>
                <w:b w:val="0"/>
                <w:bCs w:val="0"/>
                <w:color w:val="auto"/>
                <w:kern w:val="0"/>
                <w:sz w:val="22"/>
                <w:szCs w:val="22"/>
                <w:lang w:val="en-US" w:eastAsia="zh-CN"/>
              </w:rPr>
            </w:pPr>
            <w:r>
              <w:rPr>
                <w:rFonts w:hint="eastAsia" w:ascii="楷体" w:hAnsi="楷体" w:eastAsia="楷体" w:cs="楷体"/>
                <w:b w:val="0"/>
                <w:bCs w:val="0"/>
                <w:color w:val="auto"/>
                <w:kern w:val="0"/>
                <w:sz w:val="22"/>
                <w:szCs w:val="22"/>
                <w:lang w:eastAsia="zh-CN"/>
              </w:rPr>
              <w:t>（</w:t>
            </w:r>
            <w:r>
              <w:rPr>
                <w:rFonts w:hint="eastAsia" w:ascii="楷体" w:hAnsi="楷体" w:eastAsia="楷体" w:cs="楷体"/>
                <w:b w:val="0"/>
                <w:bCs w:val="0"/>
                <w:color w:val="auto"/>
                <w:kern w:val="0"/>
                <w:sz w:val="22"/>
                <w:szCs w:val="22"/>
                <w:lang w:val="en-US" w:eastAsia="zh-CN"/>
              </w:rPr>
              <w:t>3</w:t>
            </w:r>
            <w:r>
              <w:rPr>
                <w:rFonts w:hint="eastAsia" w:ascii="楷体" w:hAnsi="楷体" w:eastAsia="楷体" w:cs="楷体"/>
                <w:b w:val="0"/>
                <w:bCs w:val="0"/>
                <w:color w:val="auto"/>
                <w:kern w:val="0"/>
                <w:sz w:val="22"/>
                <w:szCs w:val="22"/>
                <w:lang w:eastAsia="zh-CN"/>
              </w:rPr>
              <w:t>）</w:t>
            </w:r>
            <w:r>
              <w:rPr>
                <w:rFonts w:hint="eastAsia" w:ascii="楷体" w:hAnsi="楷体" w:eastAsia="楷体" w:cs="楷体"/>
                <w:b w:val="0"/>
                <w:bCs w:val="0"/>
                <w:color w:val="auto"/>
                <w:kern w:val="0"/>
                <w:sz w:val="22"/>
                <w:szCs w:val="22"/>
                <w:lang w:val="en-US" w:eastAsia="zh-CN"/>
              </w:rPr>
              <w:t>1年内发生3次同类违法行为的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宋体"/>
                <w:kern w:val="0"/>
                <w:sz w:val="22"/>
                <w:lang w:eastAsia="zh-CN"/>
              </w:rPr>
            </w:pPr>
            <w:r>
              <w:rPr>
                <w:rFonts w:hint="eastAsia" w:ascii="楷体" w:hAnsi="楷体" w:eastAsia="楷体" w:cs="宋体"/>
                <w:kern w:val="0"/>
                <w:sz w:val="22"/>
                <w:lang w:eastAsia="zh-CN"/>
              </w:rPr>
              <w:t>未发现以骗取医疗保障基金为目的的，</w:t>
            </w:r>
            <w:r>
              <w:rPr>
                <w:rFonts w:hint="eastAsia" w:ascii="楷体" w:hAnsi="楷体" w:eastAsia="楷体" w:cs="楷体"/>
                <w:b w:val="0"/>
                <w:bCs w:val="0"/>
                <w:color w:val="auto"/>
                <w:kern w:val="0"/>
                <w:sz w:val="22"/>
                <w:szCs w:val="22"/>
                <w:lang w:eastAsia="zh-CN"/>
              </w:rPr>
              <w:t>约谈有关负责人、</w:t>
            </w:r>
            <w:r>
              <w:rPr>
                <w:rFonts w:hint="eastAsia" w:ascii="楷体" w:hAnsi="楷体" w:eastAsia="楷体" w:cs="宋体"/>
                <w:kern w:val="0"/>
                <w:sz w:val="22"/>
              </w:rPr>
              <w:t>按照</w:t>
            </w:r>
            <w:r>
              <w:rPr>
                <w:rFonts w:hint="eastAsia" w:ascii="楷体" w:hAnsi="楷体" w:eastAsia="楷体" w:cs="宋体"/>
                <w:kern w:val="0"/>
                <w:sz w:val="22"/>
                <w:lang w:val="en-US" w:eastAsia="zh-CN"/>
              </w:rPr>
              <w:t>1</w:t>
            </w:r>
            <w:r>
              <w:rPr>
                <w:rFonts w:hint="eastAsia" w:ascii="楷体" w:hAnsi="楷体" w:eastAsia="楷体" w:cs="宋体"/>
                <w:kern w:val="0"/>
                <w:sz w:val="22"/>
              </w:rPr>
              <w:t>倍以上</w:t>
            </w:r>
            <w:r>
              <w:rPr>
                <w:rFonts w:hint="eastAsia" w:ascii="楷体" w:hAnsi="楷体" w:eastAsia="楷体" w:cs="宋体"/>
                <w:kern w:val="0"/>
                <w:sz w:val="22"/>
                <w:lang w:val="en-US" w:eastAsia="zh-CN"/>
              </w:rPr>
              <w:t>2</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r>
              <w:rPr>
                <w:rFonts w:hint="eastAsia" w:ascii="楷体" w:hAnsi="楷体" w:eastAsia="楷体" w:cs="宋体"/>
                <w:kern w:val="0"/>
                <w:sz w:val="22"/>
                <w:lang w:eastAsia="zh-CN"/>
              </w:rPr>
              <w:t>、责令定点医药机构暂停相关责任部门6个月以上1年以下涉及医疗保障基金使用的医药服务；</w:t>
            </w:r>
          </w:p>
          <w:p>
            <w:pPr>
              <w:widowControl/>
              <w:ind w:firstLine="4" w:firstLineChars="2"/>
              <w:jc w:val="both"/>
              <w:rPr>
                <w:rFonts w:hint="eastAsia" w:ascii="楷体" w:hAnsi="楷体" w:eastAsia="楷体" w:cs="楷体"/>
                <w:b w:val="0"/>
                <w:bCs w:val="0"/>
                <w:color w:val="auto"/>
                <w:kern w:val="0"/>
                <w:sz w:val="22"/>
                <w:szCs w:val="22"/>
                <w:lang w:eastAsia="zh-CN"/>
              </w:rPr>
            </w:pPr>
            <w:r>
              <w:rPr>
                <w:rFonts w:hint="eastAsia" w:ascii="楷体" w:hAnsi="楷体" w:eastAsia="楷体" w:cs="宋体"/>
                <w:kern w:val="0"/>
                <w:sz w:val="22"/>
                <w:lang w:eastAsia="zh-CN"/>
              </w:rPr>
              <w:t>以骗取医疗保障基金为目的的，</w:t>
            </w:r>
            <w:r>
              <w:rPr>
                <w:rFonts w:hint="eastAsia" w:ascii="楷体" w:hAnsi="楷体" w:eastAsia="楷体" w:cs="宋体"/>
                <w:kern w:val="0"/>
                <w:sz w:val="22"/>
              </w:rPr>
              <w:t>按照</w:t>
            </w:r>
            <w:r>
              <w:rPr>
                <w:rFonts w:hint="eastAsia" w:ascii="楷体" w:hAnsi="楷体" w:eastAsia="楷体" w:cs="宋体"/>
                <w:kern w:val="0"/>
                <w:sz w:val="22"/>
                <w:lang w:val="en-US" w:eastAsia="zh-CN"/>
              </w:rPr>
              <w:t>4</w:t>
            </w:r>
            <w:r>
              <w:rPr>
                <w:rFonts w:hint="eastAsia" w:ascii="楷体" w:hAnsi="楷体" w:eastAsia="楷体" w:cs="宋体"/>
                <w:kern w:val="0"/>
                <w:sz w:val="22"/>
              </w:rPr>
              <w:t>倍以上</w:t>
            </w:r>
            <w:r>
              <w:rPr>
                <w:rFonts w:hint="eastAsia" w:ascii="楷体" w:hAnsi="楷体" w:eastAsia="楷体" w:cs="宋体"/>
                <w:kern w:val="0"/>
                <w:sz w:val="22"/>
                <w:lang w:val="en-US" w:eastAsia="zh-CN"/>
              </w:rPr>
              <w:t>5</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r>
              <w:rPr>
                <w:rFonts w:hint="eastAsia" w:ascii="楷体" w:hAnsi="楷体" w:eastAsia="楷体" w:cs="宋体"/>
                <w:kern w:val="0"/>
                <w:sz w:val="22"/>
                <w:lang w:eastAsia="zh-CN"/>
              </w:rPr>
              <w:t>，</w:t>
            </w:r>
            <w:r>
              <w:rPr>
                <w:rFonts w:hint="eastAsia" w:ascii="楷体" w:hAnsi="楷体" w:eastAsia="楷体" w:cs="楷体"/>
                <w:b w:val="0"/>
                <w:bCs w:val="0"/>
                <w:color w:val="auto"/>
                <w:kern w:val="0"/>
                <w:sz w:val="22"/>
                <w:szCs w:val="22"/>
              </w:rPr>
              <w:t>由医疗保障经办机构解除服务协议</w:t>
            </w:r>
          </w:p>
        </w:tc>
        <w:tc>
          <w:tcPr>
            <w:tcW w:w="1953" w:type="dxa"/>
            <w:vMerge w:val="continue"/>
            <w:tcBorders>
              <w:left w:val="single" w:color="000000"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val="0"/>
              <w:autoSpaceDN w:val="0"/>
              <w:bidi w:val="0"/>
              <w:adjustRightInd/>
              <w:snapToGrid/>
              <w:spacing w:line="280" w:lineRule="exact"/>
              <w:ind w:left="0" w:leftChars="0" w:firstLine="0" w:firstLineChars="0"/>
              <w:jc w:val="left"/>
              <w:textAlignment w:val="auto"/>
              <w:outlineLvl w:val="9"/>
              <w:rPr>
                <w:rFonts w:hint="eastAsia" w:ascii="楷体" w:hAnsi="楷体" w:eastAsia="楷体" w:cs="宋体"/>
                <w:kern w:val="0"/>
                <w:sz w:val="22"/>
                <w:lang w:eastAsia="zh-CN"/>
              </w:rPr>
            </w:pPr>
          </w:p>
        </w:tc>
      </w:tr>
      <w:tr>
        <w:tblPrEx>
          <w:tblCellMar>
            <w:top w:w="0" w:type="dxa"/>
            <w:left w:w="108" w:type="dxa"/>
            <w:bottom w:w="0" w:type="dxa"/>
            <w:right w:w="108" w:type="dxa"/>
          </w:tblCellMar>
        </w:tblPrEx>
        <w:trPr>
          <w:trHeight w:val="1511" w:hRule="atLeast"/>
          <w:tblHeader/>
        </w:trPr>
        <w:tc>
          <w:tcPr>
            <w:tcW w:w="488"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lang w:val="en-US" w:eastAsia="zh-CN"/>
              </w:rPr>
            </w:pPr>
            <w:r>
              <w:rPr>
                <w:rFonts w:hint="eastAsia" w:ascii="楷体" w:hAnsi="楷体" w:eastAsia="楷体" w:cs="楷体"/>
                <w:b w:val="0"/>
                <w:bCs w:val="0"/>
                <w:color w:val="auto"/>
                <w:kern w:val="0"/>
                <w:sz w:val="22"/>
                <w:szCs w:val="22"/>
                <w:lang w:val="en-US" w:eastAsia="zh-CN"/>
              </w:rPr>
              <w:t>4</w:t>
            </w:r>
          </w:p>
        </w:tc>
        <w:tc>
          <w:tcPr>
            <w:tcW w:w="43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rPr>
              <w:t>定点医药机构诱导、协助他人冒名或者虚假就医、购药，提供虚假证明材料，或者串通他人虚开费用单据；伪造、变造、隐匿、涂改、销毁医学文书、医学证明、会计凭证、电子信息等有关资料；虚构医药服务项目；其他骗取医疗保障基金支出的行为</w:t>
            </w:r>
            <w:r>
              <w:rPr>
                <w:rFonts w:hint="eastAsia" w:ascii="楷体" w:hAnsi="楷体" w:eastAsia="楷体" w:cs="楷体"/>
                <w:b w:val="0"/>
                <w:bCs w:val="0"/>
                <w:color w:val="auto"/>
                <w:kern w:val="0"/>
                <w:sz w:val="22"/>
                <w:szCs w:val="22"/>
                <w:lang w:eastAsia="zh-CN"/>
              </w:rPr>
              <w:t>；</w:t>
            </w:r>
          </w:p>
        </w:tc>
        <w:tc>
          <w:tcPr>
            <w:tcW w:w="238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《医疗保障基金使用监督管理条例》</w:t>
            </w:r>
          </w:p>
          <w:p>
            <w:pPr>
              <w:widowControl/>
              <w:ind w:firstLine="4" w:firstLineChars="2"/>
              <w:jc w:val="center"/>
              <w:rPr>
                <w:rFonts w:hint="eastAsia" w:ascii="楷体" w:hAnsi="楷体" w:eastAsia="楷体" w:cs="楷体"/>
                <w:b w:val="0"/>
                <w:bCs w:val="0"/>
                <w:color w:val="auto"/>
                <w:kern w:val="0"/>
                <w:sz w:val="22"/>
                <w:szCs w:val="22"/>
                <w:lang w:val="en-US" w:eastAsia="zh-CN"/>
              </w:rPr>
            </w:pPr>
            <w:r>
              <w:rPr>
                <w:rFonts w:hint="eastAsia" w:ascii="楷体" w:hAnsi="楷体" w:eastAsia="楷体" w:cs="楷体"/>
                <w:b w:val="0"/>
                <w:bCs w:val="0"/>
                <w:color w:val="auto"/>
                <w:kern w:val="0"/>
                <w:sz w:val="22"/>
                <w:szCs w:val="22"/>
                <w:lang w:eastAsia="zh-CN"/>
              </w:rPr>
              <w:t>第四十条第一款</w:t>
            </w:r>
          </w:p>
        </w:tc>
        <w:tc>
          <w:tcPr>
            <w:tcW w:w="3840"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left"/>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楷体" w:hAnsi="楷体" w:eastAsia="楷体" w:cs="楷体"/>
                <w:b w:val="0"/>
                <w:bCs w:val="0"/>
                <w:color w:val="auto"/>
                <w:kern w:val="0"/>
                <w:sz w:val="22"/>
                <w:szCs w:val="22"/>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2千</w:t>
            </w:r>
            <w:r>
              <w:rPr>
                <w:rFonts w:hint="eastAsia" w:ascii="楷体" w:hAnsi="楷体" w:eastAsia="楷体" w:cs="宋体"/>
                <w:kern w:val="0"/>
                <w:sz w:val="22"/>
              </w:rPr>
              <w:t>元</w:t>
            </w:r>
            <w:r>
              <w:rPr>
                <w:rFonts w:hint="eastAsia" w:ascii="楷体" w:hAnsi="楷体" w:eastAsia="楷体" w:cs="宋体"/>
                <w:kern w:val="0"/>
                <w:sz w:val="22"/>
                <w:lang w:eastAsia="zh-CN"/>
              </w:rPr>
              <w:t>以下</w:t>
            </w:r>
            <w:r>
              <w:rPr>
                <w:rFonts w:hint="eastAsia" w:ascii="楷体" w:hAnsi="楷体" w:eastAsia="楷体" w:cs="宋体"/>
                <w:kern w:val="0"/>
                <w:sz w:val="22"/>
              </w:rPr>
              <w:t>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lang w:eastAsia="zh-CN"/>
              </w:rPr>
            </w:pPr>
            <w:r>
              <w:rPr>
                <w:rFonts w:hint="eastAsia" w:ascii="楷体" w:hAnsi="楷体" w:eastAsia="楷体" w:cs="宋体"/>
                <w:kern w:val="0"/>
                <w:sz w:val="22"/>
              </w:rPr>
              <w:t>按照</w:t>
            </w:r>
            <w:r>
              <w:rPr>
                <w:rFonts w:hint="eastAsia" w:ascii="楷体" w:hAnsi="楷体" w:eastAsia="楷体" w:cs="宋体"/>
                <w:kern w:val="0"/>
                <w:sz w:val="22"/>
                <w:lang w:val="en-US" w:eastAsia="zh-CN"/>
              </w:rPr>
              <w:t>2</w:t>
            </w:r>
            <w:r>
              <w:rPr>
                <w:rFonts w:hint="eastAsia" w:ascii="楷体" w:hAnsi="楷体" w:eastAsia="楷体" w:cs="宋体"/>
                <w:kern w:val="0"/>
                <w:sz w:val="22"/>
              </w:rPr>
              <w:t>倍以上</w:t>
            </w:r>
            <w:r>
              <w:rPr>
                <w:rFonts w:hint="eastAsia" w:ascii="楷体" w:hAnsi="楷体" w:eastAsia="楷体" w:cs="宋体"/>
                <w:kern w:val="0"/>
                <w:sz w:val="22"/>
                <w:lang w:val="en-US" w:eastAsia="zh-CN"/>
              </w:rPr>
              <w:t>3</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r>
              <w:rPr>
                <w:rFonts w:hint="eastAsia" w:ascii="楷体" w:hAnsi="楷体" w:eastAsia="楷体" w:cs="宋体"/>
                <w:kern w:val="0"/>
                <w:sz w:val="22"/>
                <w:lang w:eastAsia="zh-CN"/>
              </w:rPr>
              <w:t>，</w:t>
            </w:r>
            <w:r>
              <w:rPr>
                <w:rFonts w:hint="eastAsia" w:ascii="楷体" w:hAnsi="楷体" w:eastAsia="楷体" w:cs="楷体"/>
                <w:b w:val="0"/>
                <w:bCs w:val="0"/>
                <w:color w:val="auto"/>
                <w:kern w:val="0"/>
                <w:sz w:val="22"/>
                <w:szCs w:val="22"/>
              </w:rPr>
              <w:t>责令定点医药机构暂停相关责任部门6个月以上</w:t>
            </w:r>
            <w:r>
              <w:rPr>
                <w:rFonts w:hint="eastAsia" w:ascii="楷体" w:hAnsi="楷体" w:eastAsia="楷体" w:cs="楷体"/>
                <w:b w:val="0"/>
                <w:bCs w:val="0"/>
                <w:color w:val="auto"/>
                <w:kern w:val="0"/>
                <w:sz w:val="22"/>
                <w:szCs w:val="22"/>
                <w:lang w:val="en-US" w:eastAsia="zh-CN"/>
              </w:rPr>
              <w:t>9个月</w:t>
            </w:r>
            <w:r>
              <w:rPr>
                <w:rFonts w:hint="eastAsia" w:ascii="楷体" w:hAnsi="楷体" w:eastAsia="楷体" w:cs="楷体"/>
                <w:b w:val="0"/>
                <w:bCs w:val="0"/>
                <w:color w:val="auto"/>
                <w:kern w:val="0"/>
                <w:sz w:val="22"/>
                <w:szCs w:val="22"/>
              </w:rPr>
              <w:t>以下涉及医疗保障基金使用的医药服务</w:t>
            </w:r>
          </w:p>
        </w:tc>
        <w:tc>
          <w:tcPr>
            <w:tcW w:w="1953" w:type="dxa"/>
            <w:vMerge w:val="restart"/>
            <w:tcBorders>
              <w:top w:val="single" w:color="000000" w:sz="4" w:space="0"/>
              <w:left w:val="single" w:color="000000" w:sz="4" w:space="0"/>
              <w:right w:val="single" w:color="000000" w:sz="4" w:space="0"/>
            </w:tcBorders>
            <w:vAlign w:val="center"/>
          </w:tcPr>
          <w:p>
            <w:pPr>
              <w:widowControl/>
              <w:ind w:firstLine="480"/>
              <w:jc w:val="left"/>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1666" w:hRule="atLeast"/>
          <w:tblHeader/>
        </w:trPr>
        <w:tc>
          <w:tcPr>
            <w:tcW w:w="488"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pPr>
          </w:p>
        </w:tc>
        <w:tc>
          <w:tcPr>
            <w:tcW w:w="4337"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pPr>
          </w:p>
        </w:tc>
        <w:tc>
          <w:tcPr>
            <w:tcW w:w="2385"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pPr>
          </w:p>
        </w:tc>
        <w:tc>
          <w:tcPr>
            <w:tcW w:w="3840"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pP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2</w:t>
            </w:r>
            <w:r>
              <w:rPr>
                <w:rFonts w:hint="eastAsia" w:ascii="楷体" w:hAnsi="楷体" w:eastAsia="楷体" w:cs="宋体"/>
                <w:kern w:val="0"/>
                <w:sz w:val="22"/>
                <w:lang w:eastAsia="zh-CN"/>
              </w:rPr>
              <w:t>千</w:t>
            </w:r>
            <w:r>
              <w:rPr>
                <w:rFonts w:hint="eastAsia" w:ascii="楷体" w:hAnsi="楷体" w:eastAsia="楷体" w:cs="宋体"/>
                <w:kern w:val="0"/>
                <w:sz w:val="22"/>
              </w:rPr>
              <w:t>元以上</w:t>
            </w:r>
            <w:r>
              <w:rPr>
                <w:rFonts w:hint="eastAsia" w:ascii="楷体" w:hAnsi="楷体" w:eastAsia="楷体" w:cs="宋体"/>
                <w:kern w:val="0"/>
                <w:sz w:val="22"/>
                <w:lang w:val="en-US" w:eastAsia="zh-CN"/>
              </w:rPr>
              <w:t>6千</w:t>
            </w:r>
            <w:r>
              <w:rPr>
                <w:rFonts w:hint="eastAsia" w:ascii="楷体" w:hAnsi="楷体" w:eastAsia="楷体" w:cs="宋体"/>
                <w:kern w:val="0"/>
                <w:sz w:val="22"/>
              </w:rPr>
              <w:t>元以下的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lang w:eastAsia="zh-CN"/>
              </w:rPr>
            </w:pPr>
            <w:r>
              <w:rPr>
                <w:rFonts w:hint="eastAsia" w:ascii="楷体" w:hAnsi="楷体" w:eastAsia="楷体" w:cs="宋体"/>
                <w:kern w:val="0"/>
                <w:sz w:val="22"/>
              </w:rPr>
              <w:t>按照</w:t>
            </w:r>
            <w:r>
              <w:rPr>
                <w:rFonts w:hint="eastAsia" w:ascii="楷体" w:hAnsi="楷体" w:eastAsia="楷体" w:cs="宋体"/>
                <w:kern w:val="0"/>
                <w:sz w:val="22"/>
                <w:lang w:val="en-US" w:eastAsia="zh-CN"/>
              </w:rPr>
              <w:t>3</w:t>
            </w:r>
            <w:r>
              <w:rPr>
                <w:rFonts w:hint="eastAsia" w:ascii="楷体" w:hAnsi="楷体" w:eastAsia="楷体" w:cs="宋体"/>
                <w:kern w:val="0"/>
                <w:sz w:val="22"/>
              </w:rPr>
              <w:t>倍以上</w:t>
            </w:r>
            <w:r>
              <w:rPr>
                <w:rFonts w:hint="eastAsia" w:ascii="楷体" w:hAnsi="楷体" w:eastAsia="楷体" w:cs="宋体"/>
                <w:kern w:val="0"/>
                <w:sz w:val="22"/>
                <w:lang w:val="en-US" w:eastAsia="zh-CN"/>
              </w:rPr>
              <w:t>4</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r>
              <w:rPr>
                <w:rFonts w:hint="eastAsia" w:ascii="楷体" w:hAnsi="楷体" w:eastAsia="楷体" w:cs="宋体"/>
                <w:kern w:val="0"/>
                <w:sz w:val="22"/>
                <w:lang w:eastAsia="zh-CN"/>
              </w:rPr>
              <w:t>，</w:t>
            </w:r>
            <w:r>
              <w:rPr>
                <w:rFonts w:hint="eastAsia" w:ascii="楷体" w:hAnsi="楷体" w:eastAsia="楷体" w:cs="楷体"/>
                <w:b w:val="0"/>
                <w:bCs w:val="0"/>
                <w:color w:val="auto"/>
                <w:kern w:val="0"/>
                <w:sz w:val="22"/>
                <w:szCs w:val="22"/>
              </w:rPr>
              <w:t>责令定点医药机构暂停相关责任部门</w:t>
            </w:r>
            <w:r>
              <w:rPr>
                <w:rFonts w:hint="eastAsia" w:ascii="楷体" w:hAnsi="楷体" w:eastAsia="楷体" w:cs="楷体"/>
                <w:b w:val="0"/>
                <w:bCs w:val="0"/>
                <w:color w:val="auto"/>
                <w:kern w:val="0"/>
                <w:sz w:val="22"/>
                <w:szCs w:val="22"/>
                <w:lang w:val="en-US" w:eastAsia="zh-CN"/>
              </w:rPr>
              <w:t>9</w:t>
            </w:r>
            <w:r>
              <w:rPr>
                <w:rFonts w:hint="eastAsia" w:ascii="楷体" w:hAnsi="楷体" w:eastAsia="楷体" w:cs="楷体"/>
                <w:b w:val="0"/>
                <w:bCs w:val="0"/>
                <w:color w:val="auto"/>
                <w:kern w:val="0"/>
                <w:sz w:val="22"/>
                <w:szCs w:val="22"/>
              </w:rPr>
              <w:t>个月以上1年以下涉及医疗保障基金使用的医药服务</w:t>
            </w:r>
          </w:p>
        </w:tc>
        <w:tc>
          <w:tcPr>
            <w:tcW w:w="1953"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2089" w:hRule="atLeast"/>
          <w:tblHeader/>
        </w:trPr>
        <w:tc>
          <w:tcPr>
            <w:tcW w:w="488"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4337"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2385"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3840"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6</w:t>
            </w:r>
            <w:r>
              <w:rPr>
                <w:rFonts w:hint="eastAsia" w:ascii="楷体" w:hAnsi="楷体" w:eastAsia="楷体" w:cs="宋体"/>
                <w:kern w:val="0"/>
                <w:sz w:val="22"/>
                <w:lang w:eastAsia="zh-CN"/>
              </w:rPr>
              <w:t>千</w:t>
            </w:r>
            <w:r>
              <w:rPr>
                <w:rFonts w:hint="eastAsia" w:ascii="楷体" w:hAnsi="楷体" w:eastAsia="楷体" w:cs="宋体"/>
                <w:kern w:val="0"/>
                <w:sz w:val="22"/>
              </w:rPr>
              <w:t>元</w:t>
            </w:r>
            <w:r>
              <w:rPr>
                <w:rFonts w:hint="eastAsia" w:ascii="楷体" w:hAnsi="楷体" w:eastAsia="楷体" w:cs="宋体"/>
                <w:kern w:val="0"/>
                <w:sz w:val="22"/>
                <w:lang w:eastAsia="zh-CN"/>
              </w:rPr>
              <w:t>以上</w:t>
            </w:r>
            <w:r>
              <w:rPr>
                <w:rFonts w:hint="eastAsia" w:ascii="楷体" w:hAnsi="楷体" w:eastAsia="楷体" w:cs="宋体"/>
                <w:kern w:val="0"/>
                <w:sz w:val="22"/>
              </w:rPr>
              <w:t>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rPr>
            </w:pPr>
            <w:r>
              <w:rPr>
                <w:rFonts w:hint="eastAsia" w:ascii="楷体" w:hAnsi="楷体" w:eastAsia="楷体" w:cs="宋体"/>
                <w:kern w:val="0"/>
                <w:sz w:val="22"/>
              </w:rPr>
              <w:t>按照</w:t>
            </w:r>
            <w:r>
              <w:rPr>
                <w:rFonts w:hint="eastAsia" w:ascii="楷体" w:hAnsi="楷体" w:eastAsia="楷体" w:cs="宋体"/>
                <w:kern w:val="0"/>
                <w:sz w:val="22"/>
                <w:lang w:val="en-US" w:eastAsia="zh-CN"/>
              </w:rPr>
              <w:t>4</w:t>
            </w:r>
            <w:r>
              <w:rPr>
                <w:rFonts w:hint="eastAsia" w:ascii="楷体" w:hAnsi="楷体" w:eastAsia="楷体" w:cs="宋体"/>
                <w:kern w:val="0"/>
                <w:sz w:val="22"/>
              </w:rPr>
              <w:t>倍以上</w:t>
            </w:r>
            <w:r>
              <w:rPr>
                <w:rFonts w:hint="eastAsia" w:ascii="楷体" w:hAnsi="楷体" w:eastAsia="楷体" w:cs="宋体"/>
                <w:kern w:val="0"/>
                <w:sz w:val="22"/>
                <w:lang w:val="en-US" w:eastAsia="zh-CN"/>
              </w:rPr>
              <w:t>5</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r>
              <w:rPr>
                <w:rFonts w:hint="eastAsia" w:ascii="楷体" w:hAnsi="楷体" w:eastAsia="楷体" w:cs="宋体"/>
                <w:kern w:val="0"/>
                <w:sz w:val="22"/>
                <w:lang w:eastAsia="zh-CN"/>
              </w:rPr>
              <w:t>，</w:t>
            </w:r>
            <w:r>
              <w:rPr>
                <w:rFonts w:hint="eastAsia" w:ascii="楷体" w:hAnsi="楷体" w:eastAsia="楷体" w:cs="楷体"/>
                <w:b w:val="0"/>
                <w:bCs w:val="0"/>
                <w:color w:val="auto"/>
                <w:kern w:val="0"/>
                <w:sz w:val="22"/>
                <w:szCs w:val="22"/>
              </w:rPr>
              <w:t>由医疗保障经办机构解除服务协议</w:t>
            </w:r>
          </w:p>
        </w:tc>
        <w:tc>
          <w:tcPr>
            <w:tcW w:w="1953" w:type="dxa"/>
            <w:vMerge w:val="continue"/>
            <w:tcBorders>
              <w:left w:val="single" w:color="000000" w:sz="4" w:space="0"/>
              <w:bottom w:val="single" w:color="auto"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1050" w:hRule="atLeast"/>
          <w:tblHeader/>
        </w:trPr>
        <w:tc>
          <w:tcPr>
            <w:tcW w:w="488"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lang w:val="en-US" w:eastAsia="zh-CN"/>
              </w:rPr>
            </w:pPr>
            <w:r>
              <w:rPr>
                <w:rFonts w:hint="eastAsia" w:ascii="楷体" w:hAnsi="楷体" w:eastAsia="楷体" w:cs="楷体"/>
                <w:b w:val="0"/>
                <w:bCs w:val="0"/>
                <w:color w:val="auto"/>
                <w:kern w:val="0"/>
                <w:sz w:val="22"/>
                <w:szCs w:val="22"/>
                <w:lang w:val="en-US" w:eastAsia="zh-CN"/>
              </w:rPr>
              <w:t>5</w:t>
            </w:r>
          </w:p>
        </w:tc>
        <w:tc>
          <w:tcPr>
            <w:tcW w:w="43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个人将本人的医疗保障凭证交由他人冒名使用；重复享受医疗保障待遇；利用享受医疗保障待遇的机会转卖药品，接受返还现金、实物或者获得其他非法利益</w:t>
            </w:r>
          </w:p>
        </w:tc>
        <w:tc>
          <w:tcPr>
            <w:tcW w:w="238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《医疗保障基金使用监督管理条例》</w:t>
            </w:r>
          </w:p>
          <w:p>
            <w:pPr>
              <w:widowControl/>
              <w:ind w:firstLine="4" w:firstLineChars="2"/>
              <w:jc w:val="center"/>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eastAsia="zh-CN"/>
              </w:rPr>
              <w:t>第四十一条</w:t>
            </w:r>
          </w:p>
        </w:tc>
        <w:tc>
          <w:tcPr>
            <w:tcW w:w="3840"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left"/>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由医疗保障行政部门责令改正；造成医疗保障基金损失的，责令退回；属于参保人员的，暂停其医疗费用联网结算3个月至12个月</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楷体" w:hAnsi="楷体" w:eastAsia="楷体" w:cs="楷体"/>
                <w:b w:val="0"/>
                <w:bCs w:val="0"/>
                <w:color w:val="auto"/>
                <w:kern w:val="0"/>
                <w:sz w:val="22"/>
                <w:szCs w:val="22"/>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2</w:t>
            </w:r>
            <w:r>
              <w:rPr>
                <w:rFonts w:hint="eastAsia" w:ascii="楷体" w:hAnsi="楷体" w:eastAsia="楷体" w:cs="宋体"/>
                <w:kern w:val="0"/>
                <w:sz w:val="22"/>
                <w:lang w:eastAsia="zh-CN"/>
              </w:rPr>
              <w:t>千</w:t>
            </w:r>
            <w:r>
              <w:rPr>
                <w:rFonts w:hint="eastAsia" w:ascii="楷体" w:hAnsi="楷体" w:eastAsia="楷体" w:cs="宋体"/>
                <w:kern w:val="0"/>
                <w:sz w:val="22"/>
              </w:rPr>
              <w:t>元</w:t>
            </w:r>
            <w:r>
              <w:rPr>
                <w:rFonts w:hint="eastAsia" w:ascii="楷体" w:hAnsi="楷体" w:eastAsia="楷体" w:cs="宋体"/>
                <w:kern w:val="0"/>
                <w:sz w:val="22"/>
                <w:lang w:eastAsia="zh-CN"/>
              </w:rPr>
              <w:t>以下</w:t>
            </w:r>
            <w:r>
              <w:rPr>
                <w:rFonts w:hint="eastAsia" w:ascii="楷体" w:hAnsi="楷体" w:eastAsia="楷体" w:cs="宋体"/>
                <w:kern w:val="0"/>
                <w:sz w:val="22"/>
              </w:rPr>
              <w:t>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暂停其医疗费用联网结算3个月至</w:t>
            </w:r>
            <w:r>
              <w:rPr>
                <w:rFonts w:hint="eastAsia" w:ascii="楷体" w:hAnsi="楷体" w:eastAsia="楷体" w:cs="楷体"/>
                <w:b w:val="0"/>
                <w:bCs w:val="0"/>
                <w:color w:val="auto"/>
                <w:kern w:val="0"/>
                <w:sz w:val="22"/>
                <w:szCs w:val="22"/>
                <w:lang w:val="en-US" w:eastAsia="zh-CN"/>
              </w:rPr>
              <w:t>6</w:t>
            </w:r>
            <w:r>
              <w:rPr>
                <w:rFonts w:hint="eastAsia" w:ascii="楷体" w:hAnsi="楷体" w:eastAsia="楷体" w:cs="楷体"/>
                <w:b w:val="0"/>
                <w:bCs w:val="0"/>
                <w:color w:val="auto"/>
                <w:kern w:val="0"/>
                <w:sz w:val="22"/>
                <w:szCs w:val="22"/>
              </w:rPr>
              <w:t>个月</w:t>
            </w:r>
          </w:p>
        </w:tc>
        <w:tc>
          <w:tcPr>
            <w:tcW w:w="195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val="0"/>
              <w:autoSpaceDN w:val="0"/>
              <w:bidi w:val="0"/>
              <w:adjustRightInd/>
              <w:snapToGrid/>
              <w:spacing w:line="192" w:lineRule="auto"/>
              <w:jc w:val="left"/>
              <w:textAlignment w:val="auto"/>
              <w:outlineLvl w:val="9"/>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eastAsia="zh-CN"/>
              </w:rPr>
              <w:t>所使用的违法医保基金</w:t>
            </w:r>
            <w:r>
              <w:rPr>
                <w:rFonts w:hint="eastAsia" w:ascii="楷体" w:hAnsi="楷体" w:eastAsia="楷体" w:cs="楷体"/>
                <w:b w:val="0"/>
                <w:bCs w:val="0"/>
                <w:color w:val="auto"/>
                <w:kern w:val="0"/>
                <w:sz w:val="22"/>
                <w:szCs w:val="22"/>
              </w:rPr>
              <w:t>均由医保个人账户支付，不具有从重情节，且主动退还、及时纠正，未造成危害后果，可视作违法行为轻微并及时纠正，没有造成危害后果，不予处罚。</w:t>
            </w:r>
          </w:p>
        </w:tc>
      </w:tr>
      <w:tr>
        <w:tblPrEx>
          <w:tblCellMar>
            <w:top w:w="0" w:type="dxa"/>
            <w:left w:w="108" w:type="dxa"/>
            <w:bottom w:w="0" w:type="dxa"/>
            <w:right w:w="108" w:type="dxa"/>
          </w:tblCellMar>
        </w:tblPrEx>
        <w:trPr>
          <w:trHeight w:val="1044" w:hRule="atLeast"/>
          <w:tblHeader/>
        </w:trPr>
        <w:tc>
          <w:tcPr>
            <w:tcW w:w="488"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pPr>
          </w:p>
        </w:tc>
        <w:tc>
          <w:tcPr>
            <w:tcW w:w="4337"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pPr>
          </w:p>
        </w:tc>
        <w:tc>
          <w:tcPr>
            <w:tcW w:w="2385"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pPr>
          </w:p>
        </w:tc>
        <w:tc>
          <w:tcPr>
            <w:tcW w:w="3840"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pP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2</w:t>
            </w:r>
            <w:r>
              <w:rPr>
                <w:rFonts w:hint="eastAsia" w:ascii="楷体" w:hAnsi="楷体" w:eastAsia="楷体" w:cs="宋体"/>
                <w:kern w:val="0"/>
                <w:sz w:val="22"/>
                <w:lang w:eastAsia="zh-CN"/>
              </w:rPr>
              <w:t>千</w:t>
            </w:r>
            <w:r>
              <w:rPr>
                <w:rFonts w:hint="eastAsia" w:ascii="楷体" w:hAnsi="楷体" w:eastAsia="楷体" w:cs="宋体"/>
                <w:kern w:val="0"/>
                <w:sz w:val="22"/>
              </w:rPr>
              <w:t>元以上</w:t>
            </w:r>
            <w:r>
              <w:rPr>
                <w:rFonts w:hint="eastAsia" w:ascii="楷体" w:hAnsi="楷体" w:eastAsia="楷体" w:cs="宋体"/>
                <w:kern w:val="0"/>
                <w:sz w:val="22"/>
                <w:lang w:val="en-US" w:eastAsia="zh-CN"/>
              </w:rPr>
              <w:t>6</w:t>
            </w:r>
            <w:r>
              <w:rPr>
                <w:rFonts w:hint="eastAsia" w:ascii="楷体" w:hAnsi="楷体" w:eastAsia="楷体" w:cs="宋体"/>
                <w:kern w:val="0"/>
                <w:sz w:val="22"/>
                <w:lang w:eastAsia="zh-CN"/>
              </w:rPr>
              <w:t>千</w:t>
            </w:r>
            <w:r>
              <w:rPr>
                <w:rFonts w:hint="eastAsia" w:ascii="楷体" w:hAnsi="楷体" w:eastAsia="楷体" w:cs="宋体"/>
                <w:kern w:val="0"/>
                <w:sz w:val="22"/>
              </w:rPr>
              <w:t>元以下的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暂停其医疗费用联网结算</w:t>
            </w:r>
            <w:r>
              <w:rPr>
                <w:rFonts w:hint="eastAsia" w:ascii="楷体" w:hAnsi="楷体" w:eastAsia="楷体" w:cs="楷体"/>
                <w:b w:val="0"/>
                <w:bCs w:val="0"/>
                <w:color w:val="auto"/>
                <w:kern w:val="0"/>
                <w:sz w:val="22"/>
                <w:szCs w:val="22"/>
                <w:lang w:val="en-US" w:eastAsia="zh-CN"/>
              </w:rPr>
              <w:t>6</w:t>
            </w:r>
            <w:r>
              <w:rPr>
                <w:rFonts w:hint="eastAsia" w:ascii="楷体" w:hAnsi="楷体" w:eastAsia="楷体" w:cs="楷体"/>
                <w:b w:val="0"/>
                <w:bCs w:val="0"/>
                <w:color w:val="auto"/>
                <w:kern w:val="0"/>
                <w:sz w:val="22"/>
                <w:szCs w:val="22"/>
              </w:rPr>
              <w:t>个月至</w:t>
            </w:r>
            <w:r>
              <w:rPr>
                <w:rFonts w:hint="eastAsia" w:ascii="楷体" w:hAnsi="楷体" w:eastAsia="楷体" w:cs="楷体"/>
                <w:b w:val="0"/>
                <w:bCs w:val="0"/>
                <w:color w:val="auto"/>
                <w:kern w:val="0"/>
                <w:sz w:val="22"/>
                <w:szCs w:val="22"/>
                <w:lang w:val="en-US" w:eastAsia="zh-CN"/>
              </w:rPr>
              <w:t>9</w:t>
            </w:r>
            <w:r>
              <w:rPr>
                <w:rFonts w:hint="eastAsia" w:ascii="楷体" w:hAnsi="楷体" w:eastAsia="楷体" w:cs="楷体"/>
                <w:b w:val="0"/>
                <w:bCs w:val="0"/>
                <w:color w:val="auto"/>
                <w:kern w:val="0"/>
                <w:sz w:val="22"/>
                <w:szCs w:val="22"/>
              </w:rPr>
              <w:t>个月</w:t>
            </w:r>
          </w:p>
        </w:tc>
        <w:tc>
          <w:tcPr>
            <w:tcW w:w="1953"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90" w:hRule="atLeast"/>
          <w:tblHeader/>
        </w:trPr>
        <w:tc>
          <w:tcPr>
            <w:tcW w:w="488"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4337"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2385"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3840"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6千</w:t>
            </w:r>
            <w:r>
              <w:rPr>
                <w:rFonts w:hint="eastAsia" w:ascii="楷体" w:hAnsi="楷体" w:eastAsia="楷体" w:cs="宋体"/>
                <w:kern w:val="0"/>
                <w:sz w:val="22"/>
              </w:rPr>
              <w:t>元</w:t>
            </w:r>
            <w:r>
              <w:rPr>
                <w:rFonts w:hint="eastAsia" w:ascii="楷体" w:hAnsi="楷体" w:eastAsia="楷体" w:cs="宋体"/>
                <w:kern w:val="0"/>
                <w:sz w:val="22"/>
                <w:lang w:eastAsia="zh-CN"/>
              </w:rPr>
              <w:t>以上</w:t>
            </w:r>
            <w:r>
              <w:rPr>
                <w:rFonts w:hint="eastAsia" w:ascii="楷体" w:hAnsi="楷体" w:eastAsia="楷体" w:cs="宋体"/>
                <w:kern w:val="0"/>
                <w:sz w:val="22"/>
              </w:rPr>
              <w:t>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暂停其医疗费用联网结算</w:t>
            </w:r>
            <w:r>
              <w:rPr>
                <w:rFonts w:hint="eastAsia" w:ascii="楷体" w:hAnsi="楷体" w:eastAsia="楷体" w:cs="楷体"/>
                <w:b w:val="0"/>
                <w:bCs w:val="0"/>
                <w:color w:val="auto"/>
                <w:kern w:val="0"/>
                <w:sz w:val="22"/>
                <w:szCs w:val="22"/>
                <w:lang w:val="en-US" w:eastAsia="zh-CN"/>
              </w:rPr>
              <w:t>9</w:t>
            </w:r>
            <w:r>
              <w:rPr>
                <w:rFonts w:hint="eastAsia" w:ascii="楷体" w:hAnsi="楷体" w:eastAsia="楷体" w:cs="楷体"/>
                <w:b w:val="0"/>
                <w:bCs w:val="0"/>
                <w:color w:val="auto"/>
                <w:kern w:val="0"/>
                <w:sz w:val="22"/>
                <w:szCs w:val="22"/>
              </w:rPr>
              <w:t>个月至</w:t>
            </w:r>
            <w:r>
              <w:rPr>
                <w:rFonts w:hint="eastAsia" w:ascii="楷体" w:hAnsi="楷体" w:eastAsia="楷体" w:cs="楷体"/>
                <w:b w:val="0"/>
                <w:bCs w:val="0"/>
                <w:color w:val="auto"/>
                <w:kern w:val="0"/>
                <w:sz w:val="22"/>
                <w:szCs w:val="22"/>
                <w:lang w:val="en-US" w:eastAsia="zh-CN"/>
              </w:rPr>
              <w:t>12</w:t>
            </w:r>
            <w:r>
              <w:rPr>
                <w:rFonts w:hint="eastAsia" w:ascii="楷体" w:hAnsi="楷体" w:eastAsia="楷体" w:cs="楷体"/>
                <w:b w:val="0"/>
                <w:bCs w:val="0"/>
                <w:color w:val="auto"/>
                <w:kern w:val="0"/>
                <w:sz w:val="22"/>
                <w:szCs w:val="22"/>
              </w:rPr>
              <w:t>个月</w:t>
            </w:r>
          </w:p>
        </w:tc>
        <w:tc>
          <w:tcPr>
            <w:tcW w:w="1953" w:type="dxa"/>
            <w:vMerge w:val="continue"/>
            <w:tcBorders>
              <w:left w:val="single" w:color="000000" w:sz="4" w:space="0"/>
              <w:bottom w:val="single" w:color="auto"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1348" w:hRule="atLeast"/>
          <w:tblHeader/>
        </w:trPr>
        <w:tc>
          <w:tcPr>
            <w:tcW w:w="488"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lang w:val="en-US" w:eastAsia="zh-CN"/>
              </w:rPr>
            </w:pPr>
            <w:r>
              <w:rPr>
                <w:rFonts w:hint="eastAsia" w:ascii="楷体" w:hAnsi="楷体" w:eastAsia="楷体" w:cs="楷体"/>
                <w:b w:val="0"/>
                <w:bCs w:val="0"/>
                <w:color w:val="auto"/>
                <w:kern w:val="0"/>
                <w:sz w:val="22"/>
                <w:szCs w:val="22"/>
                <w:lang w:val="en-US" w:eastAsia="zh-CN"/>
              </w:rPr>
              <w:t>6</w:t>
            </w:r>
          </w:p>
        </w:tc>
        <w:tc>
          <w:tcPr>
            <w:tcW w:w="4337"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left"/>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eastAsia="zh-CN"/>
              </w:rPr>
              <w:t>个人以骗取医疗保障基金为目的，实施了下列规定行为之一，造成医疗保障基金损失的：⑴将本人的医疗保障凭证交由他人冒名使用，⑵重复享受医疗保障待遇，⑶利用享受医疗保障待遇的机会转卖药品，接受返还现金、实物或者获得其他非法利益，造成医疗保障基金损失的；或者使用他人医疗保障凭证冒名就医、购药的；或者通过伪造、变造、隐匿、涂改、销毁医学文书、医学证明、会计凭证、电子信息等有关资料或者虚构医药服务项目等方式，骗取医疗保障基金支出</w:t>
            </w:r>
          </w:p>
        </w:tc>
        <w:tc>
          <w:tcPr>
            <w:tcW w:w="2385"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lang w:eastAsia="zh-CN"/>
              </w:rPr>
              <w:t>《医疗保障基金使用监督管理条例》</w:t>
            </w:r>
          </w:p>
          <w:p>
            <w:pPr>
              <w:widowControl/>
              <w:ind w:firstLine="4" w:firstLineChars="2"/>
              <w:jc w:val="center"/>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lang w:eastAsia="zh-CN"/>
              </w:rPr>
              <w:t>第四十一条</w:t>
            </w:r>
          </w:p>
        </w:tc>
        <w:tc>
          <w:tcPr>
            <w:tcW w:w="3840" w:type="dxa"/>
            <w:vMerge w:val="restart"/>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left"/>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rPr>
              <w:t>由医疗保障行政部门责令改正</w:t>
            </w:r>
            <w:r>
              <w:rPr>
                <w:rFonts w:hint="eastAsia" w:ascii="楷体" w:hAnsi="楷体" w:eastAsia="楷体" w:cs="楷体"/>
                <w:b w:val="0"/>
                <w:bCs w:val="0"/>
                <w:color w:val="auto"/>
                <w:kern w:val="0"/>
                <w:sz w:val="22"/>
                <w:szCs w:val="22"/>
                <w:lang w:eastAsia="zh-CN"/>
              </w:rPr>
              <w:t>；</w:t>
            </w:r>
            <w:r>
              <w:rPr>
                <w:rFonts w:hint="eastAsia" w:ascii="楷体" w:hAnsi="楷体" w:eastAsia="楷体" w:cs="楷体"/>
                <w:b w:val="0"/>
                <w:bCs w:val="0"/>
                <w:color w:val="auto"/>
                <w:kern w:val="0"/>
                <w:sz w:val="22"/>
                <w:szCs w:val="22"/>
              </w:rPr>
              <w:t>造成医疗保障基金损失的，责令退回；属于参保人员的，暂停其医疗费用联网结算3个月至12个月</w:t>
            </w:r>
            <w:r>
              <w:rPr>
                <w:rFonts w:hint="eastAsia" w:ascii="楷体" w:hAnsi="楷体" w:eastAsia="楷体" w:cs="楷体"/>
                <w:b w:val="0"/>
                <w:bCs w:val="0"/>
                <w:color w:val="auto"/>
                <w:kern w:val="0"/>
                <w:sz w:val="22"/>
                <w:szCs w:val="22"/>
                <w:lang w:eastAsia="zh-CN"/>
              </w:rPr>
              <w:t>；由医疗保障行政部门处骗取金额2倍以上5倍以下的罚款</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楷体" w:hAnsi="楷体" w:eastAsia="楷体" w:cs="楷体"/>
                <w:b w:val="0"/>
                <w:bCs w:val="0"/>
                <w:color w:val="auto"/>
                <w:kern w:val="0"/>
                <w:sz w:val="22"/>
                <w:szCs w:val="22"/>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2</w:t>
            </w:r>
            <w:r>
              <w:rPr>
                <w:rFonts w:hint="eastAsia" w:ascii="楷体" w:hAnsi="楷体" w:eastAsia="楷体" w:cs="宋体"/>
                <w:kern w:val="0"/>
                <w:sz w:val="22"/>
                <w:lang w:eastAsia="zh-CN"/>
              </w:rPr>
              <w:t>千</w:t>
            </w:r>
            <w:r>
              <w:rPr>
                <w:rFonts w:hint="eastAsia" w:ascii="楷体" w:hAnsi="楷体" w:eastAsia="楷体" w:cs="宋体"/>
                <w:kern w:val="0"/>
                <w:sz w:val="22"/>
              </w:rPr>
              <w:t>元</w:t>
            </w:r>
            <w:r>
              <w:rPr>
                <w:rFonts w:hint="eastAsia" w:ascii="楷体" w:hAnsi="楷体" w:eastAsia="楷体" w:cs="宋体"/>
                <w:kern w:val="0"/>
                <w:sz w:val="22"/>
                <w:lang w:eastAsia="zh-CN"/>
              </w:rPr>
              <w:t>以下</w:t>
            </w:r>
            <w:r>
              <w:rPr>
                <w:rFonts w:hint="eastAsia" w:ascii="楷体" w:hAnsi="楷体" w:eastAsia="楷体" w:cs="宋体"/>
                <w:kern w:val="0"/>
                <w:sz w:val="22"/>
              </w:rPr>
              <w:t>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rPr>
              <w:t>暂停其医疗费用联网结算3个月至</w:t>
            </w:r>
            <w:r>
              <w:rPr>
                <w:rFonts w:hint="eastAsia" w:ascii="楷体" w:hAnsi="楷体" w:eastAsia="楷体" w:cs="楷体"/>
                <w:b w:val="0"/>
                <w:bCs w:val="0"/>
                <w:color w:val="auto"/>
                <w:kern w:val="0"/>
                <w:sz w:val="22"/>
                <w:szCs w:val="22"/>
                <w:lang w:val="en-US" w:eastAsia="zh-CN"/>
              </w:rPr>
              <w:t>6</w:t>
            </w:r>
            <w:r>
              <w:rPr>
                <w:rFonts w:hint="eastAsia" w:ascii="楷体" w:hAnsi="楷体" w:eastAsia="楷体" w:cs="楷体"/>
                <w:b w:val="0"/>
                <w:bCs w:val="0"/>
                <w:color w:val="auto"/>
                <w:kern w:val="0"/>
                <w:sz w:val="22"/>
                <w:szCs w:val="22"/>
              </w:rPr>
              <w:t>个月</w:t>
            </w:r>
            <w:r>
              <w:rPr>
                <w:rFonts w:hint="eastAsia" w:ascii="楷体" w:hAnsi="楷体" w:eastAsia="楷体" w:cs="楷体"/>
                <w:b w:val="0"/>
                <w:bCs w:val="0"/>
                <w:color w:val="auto"/>
                <w:kern w:val="0"/>
                <w:sz w:val="22"/>
                <w:szCs w:val="22"/>
                <w:lang w:eastAsia="zh-CN"/>
              </w:rPr>
              <w:t>、</w:t>
            </w:r>
            <w:r>
              <w:rPr>
                <w:rFonts w:hint="eastAsia" w:ascii="楷体" w:hAnsi="楷体" w:eastAsia="楷体" w:cs="宋体"/>
                <w:kern w:val="0"/>
                <w:sz w:val="22"/>
              </w:rPr>
              <w:t>按照2倍以上3倍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p>
        </w:tc>
        <w:tc>
          <w:tcPr>
            <w:tcW w:w="1953" w:type="dxa"/>
            <w:vMerge w:val="restart"/>
            <w:tcBorders>
              <w:top w:val="single" w:color="000000" w:sz="4" w:space="0"/>
              <w:left w:val="single" w:color="000000" w:sz="4" w:space="0"/>
              <w:right w:val="single" w:color="000000" w:sz="4" w:space="0"/>
            </w:tcBorders>
            <w:vAlign w:val="center"/>
          </w:tcPr>
          <w:p>
            <w:pPr>
              <w:widowControl/>
              <w:spacing w:line="240" w:lineRule="auto"/>
              <w:jc w:val="left"/>
              <w:rPr>
                <w:rFonts w:hint="eastAsia" w:ascii="楷体" w:hAnsi="楷体" w:eastAsia="楷体" w:cs="楷体"/>
                <w:b w:val="0"/>
                <w:bCs w:val="0"/>
                <w:color w:val="auto"/>
                <w:kern w:val="0"/>
                <w:sz w:val="22"/>
                <w:szCs w:val="22"/>
              </w:rPr>
            </w:pPr>
            <w:r>
              <w:rPr>
                <w:rFonts w:hint="eastAsia" w:ascii="楷体" w:hAnsi="楷体" w:eastAsia="楷体" w:cs="楷体"/>
                <w:b w:val="0"/>
                <w:bCs w:val="0"/>
                <w:color w:val="auto"/>
                <w:kern w:val="0"/>
                <w:sz w:val="22"/>
                <w:szCs w:val="22"/>
              </w:rPr>
              <w:t>骗取的</w:t>
            </w:r>
            <w:r>
              <w:rPr>
                <w:rFonts w:hint="eastAsia" w:ascii="楷体" w:hAnsi="楷体" w:eastAsia="楷体" w:cs="楷体"/>
                <w:b w:val="0"/>
                <w:bCs w:val="0"/>
                <w:color w:val="auto"/>
                <w:kern w:val="0"/>
                <w:sz w:val="22"/>
                <w:szCs w:val="22"/>
                <w:lang w:eastAsia="zh-CN"/>
              </w:rPr>
              <w:t>医保基金</w:t>
            </w:r>
            <w:r>
              <w:rPr>
                <w:rFonts w:hint="eastAsia" w:ascii="楷体" w:hAnsi="楷体" w:eastAsia="楷体" w:cs="楷体"/>
                <w:b w:val="0"/>
                <w:bCs w:val="0"/>
                <w:color w:val="auto"/>
                <w:kern w:val="0"/>
                <w:sz w:val="22"/>
                <w:szCs w:val="22"/>
              </w:rPr>
              <w:t>均由医保个人账户支付，不具有从重情节，且主动退还、及时纠正，未造成危害后果，可视作违法行为轻微并及时纠正，没有造成危害后果，不予处罚。</w:t>
            </w:r>
          </w:p>
        </w:tc>
      </w:tr>
      <w:tr>
        <w:tblPrEx>
          <w:tblCellMar>
            <w:top w:w="0" w:type="dxa"/>
            <w:left w:w="108" w:type="dxa"/>
            <w:bottom w:w="0" w:type="dxa"/>
            <w:right w:w="108" w:type="dxa"/>
          </w:tblCellMar>
        </w:tblPrEx>
        <w:trPr>
          <w:trHeight w:val="1388" w:hRule="atLeast"/>
          <w:tblHeader/>
        </w:trPr>
        <w:tc>
          <w:tcPr>
            <w:tcW w:w="488"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pPr>
          </w:p>
        </w:tc>
        <w:tc>
          <w:tcPr>
            <w:tcW w:w="4337"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pPr>
          </w:p>
        </w:tc>
        <w:tc>
          <w:tcPr>
            <w:tcW w:w="2385"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pPr>
          </w:p>
        </w:tc>
        <w:tc>
          <w:tcPr>
            <w:tcW w:w="3840"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center"/>
            </w:pP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2</w:t>
            </w:r>
            <w:r>
              <w:rPr>
                <w:rFonts w:hint="eastAsia" w:ascii="楷体" w:hAnsi="楷体" w:eastAsia="楷体" w:cs="宋体"/>
                <w:kern w:val="0"/>
                <w:sz w:val="22"/>
                <w:lang w:eastAsia="zh-CN"/>
              </w:rPr>
              <w:t>千</w:t>
            </w:r>
            <w:r>
              <w:rPr>
                <w:rFonts w:hint="eastAsia" w:ascii="楷体" w:hAnsi="楷体" w:eastAsia="楷体" w:cs="宋体"/>
                <w:kern w:val="0"/>
                <w:sz w:val="22"/>
              </w:rPr>
              <w:t>元以上</w:t>
            </w:r>
            <w:r>
              <w:rPr>
                <w:rFonts w:hint="eastAsia" w:ascii="楷体" w:hAnsi="楷体" w:eastAsia="楷体" w:cs="宋体"/>
                <w:kern w:val="0"/>
                <w:sz w:val="22"/>
                <w:lang w:val="en-US" w:eastAsia="zh-CN"/>
              </w:rPr>
              <w:t>6</w:t>
            </w:r>
            <w:r>
              <w:rPr>
                <w:rFonts w:hint="eastAsia" w:ascii="楷体" w:hAnsi="楷体" w:eastAsia="楷体" w:cs="宋体"/>
                <w:kern w:val="0"/>
                <w:sz w:val="22"/>
                <w:lang w:eastAsia="zh-CN"/>
              </w:rPr>
              <w:t>千</w:t>
            </w:r>
            <w:r>
              <w:rPr>
                <w:rFonts w:hint="eastAsia" w:ascii="楷体" w:hAnsi="楷体" w:eastAsia="楷体" w:cs="宋体"/>
                <w:kern w:val="0"/>
                <w:sz w:val="22"/>
              </w:rPr>
              <w:t>元以下的</w:t>
            </w:r>
          </w:p>
        </w:tc>
        <w:tc>
          <w:tcPr>
            <w:tcW w:w="3855" w:type="dxa"/>
            <w:tcBorders>
              <w:top w:val="single" w:color="000000" w:sz="4" w:space="0"/>
              <w:left w:val="single" w:color="000000" w:sz="4" w:space="0"/>
              <w:bottom w:val="single" w:color="000000"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rPr>
              <w:t>暂停其医疗费用联网结算</w:t>
            </w:r>
            <w:r>
              <w:rPr>
                <w:rFonts w:hint="eastAsia" w:ascii="楷体" w:hAnsi="楷体" w:eastAsia="楷体" w:cs="楷体"/>
                <w:b w:val="0"/>
                <w:bCs w:val="0"/>
                <w:color w:val="auto"/>
                <w:kern w:val="0"/>
                <w:sz w:val="22"/>
                <w:szCs w:val="22"/>
                <w:lang w:val="en-US" w:eastAsia="zh-CN"/>
              </w:rPr>
              <w:t>6</w:t>
            </w:r>
            <w:r>
              <w:rPr>
                <w:rFonts w:hint="eastAsia" w:ascii="楷体" w:hAnsi="楷体" w:eastAsia="楷体" w:cs="楷体"/>
                <w:b w:val="0"/>
                <w:bCs w:val="0"/>
                <w:color w:val="auto"/>
                <w:kern w:val="0"/>
                <w:sz w:val="22"/>
                <w:szCs w:val="22"/>
              </w:rPr>
              <w:t>个月至</w:t>
            </w:r>
            <w:r>
              <w:rPr>
                <w:rFonts w:hint="eastAsia" w:ascii="楷体" w:hAnsi="楷体" w:eastAsia="楷体" w:cs="楷体"/>
                <w:b w:val="0"/>
                <w:bCs w:val="0"/>
                <w:color w:val="auto"/>
                <w:kern w:val="0"/>
                <w:sz w:val="22"/>
                <w:szCs w:val="22"/>
                <w:lang w:val="en-US" w:eastAsia="zh-CN"/>
              </w:rPr>
              <w:t>9</w:t>
            </w:r>
            <w:r>
              <w:rPr>
                <w:rFonts w:hint="eastAsia" w:ascii="楷体" w:hAnsi="楷体" w:eastAsia="楷体" w:cs="楷体"/>
                <w:b w:val="0"/>
                <w:bCs w:val="0"/>
                <w:color w:val="auto"/>
                <w:kern w:val="0"/>
                <w:sz w:val="22"/>
                <w:szCs w:val="22"/>
              </w:rPr>
              <w:t>个月</w:t>
            </w:r>
            <w:r>
              <w:rPr>
                <w:rFonts w:hint="eastAsia" w:ascii="楷体" w:hAnsi="楷体" w:eastAsia="楷体" w:cs="楷体"/>
                <w:b w:val="0"/>
                <w:bCs w:val="0"/>
                <w:color w:val="auto"/>
                <w:kern w:val="0"/>
                <w:sz w:val="22"/>
                <w:szCs w:val="22"/>
                <w:lang w:eastAsia="zh-CN"/>
              </w:rPr>
              <w:t>、</w:t>
            </w:r>
            <w:r>
              <w:rPr>
                <w:rFonts w:hint="eastAsia" w:ascii="楷体" w:hAnsi="楷体" w:eastAsia="楷体" w:cs="宋体"/>
                <w:kern w:val="0"/>
                <w:sz w:val="22"/>
              </w:rPr>
              <w:t>按照</w:t>
            </w:r>
            <w:r>
              <w:rPr>
                <w:rFonts w:hint="eastAsia" w:ascii="楷体" w:hAnsi="楷体" w:eastAsia="楷体" w:cs="宋体"/>
                <w:kern w:val="0"/>
                <w:sz w:val="22"/>
                <w:lang w:val="en-US" w:eastAsia="zh-CN"/>
              </w:rPr>
              <w:t>3</w:t>
            </w:r>
            <w:r>
              <w:rPr>
                <w:rFonts w:hint="eastAsia" w:ascii="楷体" w:hAnsi="楷体" w:eastAsia="楷体" w:cs="宋体"/>
                <w:kern w:val="0"/>
                <w:sz w:val="22"/>
              </w:rPr>
              <w:t>倍以上</w:t>
            </w:r>
            <w:r>
              <w:rPr>
                <w:rFonts w:hint="eastAsia" w:ascii="楷体" w:hAnsi="楷体" w:eastAsia="楷体" w:cs="宋体"/>
                <w:kern w:val="0"/>
                <w:sz w:val="22"/>
                <w:lang w:val="en-US" w:eastAsia="zh-CN"/>
              </w:rPr>
              <w:t>4</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p>
        </w:tc>
        <w:tc>
          <w:tcPr>
            <w:tcW w:w="1953" w:type="dxa"/>
            <w:vMerge w:val="continue"/>
            <w:tcBorders>
              <w:left w:val="single" w:color="000000"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1341" w:hRule="atLeast"/>
          <w:tblHeader/>
        </w:trPr>
        <w:tc>
          <w:tcPr>
            <w:tcW w:w="488" w:type="dxa"/>
            <w:vMerge w:val="continue"/>
            <w:tcBorders>
              <w:top w:val="single" w:color="000000" w:sz="4" w:space="0"/>
              <w:left w:val="single" w:color="000000" w:sz="4" w:space="0"/>
              <w:bottom w:val="single" w:color="auto"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4337" w:type="dxa"/>
            <w:vMerge w:val="continue"/>
            <w:tcBorders>
              <w:top w:val="single" w:color="000000" w:sz="4" w:space="0"/>
              <w:left w:val="single" w:color="000000" w:sz="4" w:space="0"/>
              <w:bottom w:val="single" w:color="auto"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2385" w:type="dxa"/>
            <w:vMerge w:val="continue"/>
            <w:tcBorders>
              <w:top w:val="single" w:color="000000" w:sz="4" w:space="0"/>
              <w:left w:val="single" w:color="000000" w:sz="4" w:space="0"/>
              <w:bottom w:val="single" w:color="auto"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3840" w:type="dxa"/>
            <w:vMerge w:val="continue"/>
            <w:tcBorders>
              <w:top w:val="single" w:color="000000" w:sz="4" w:space="0"/>
              <w:left w:val="single" w:color="000000" w:sz="4" w:space="0"/>
              <w:bottom w:val="single" w:color="auto"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c>
          <w:tcPr>
            <w:tcW w:w="4230" w:type="dxa"/>
            <w:tcBorders>
              <w:top w:val="single" w:color="000000" w:sz="4" w:space="0"/>
              <w:left w:val="single" w:color="000000" w:sz="4" w:space="0"/>
              <w:bottom w:val="single" w:color="auto"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6</w:t>
            </w:r>
            <w:r>
              <w:rPr>
                <w:rFonts w:hint="eastAsia" w:ascii="楷体" w:hAnsi="楷体" w:eastAsia="楷体" w:cs="宋体"/>
                <w:kern w:val="0"/>
                <w:sz w:val="22"/>
                <w:lang w:eastAsia="zh-CN"/>
              </w:rPr>
              <w:t>千</w:t>
            </w:r>
            <w:r>
              <w:rPr>
                <w:rFonts w:hint="eastAsia" w:ascii="楷体" w:hAnsi="楷体" w:eastAsia="楷体" w:cs="宋体"/>
                <w:kern w:val="0"/>
                <w:sz w:val="22"/>
              </w:rPr>
              <w:t>元</w:t>
            </w:r>
            <w:r>
              <w:rPr>
                <w:rFonts w:hint="eastAsia" w:ascii="楷体" w:hAnsi="楷体" w:eastAsia="楷体" w:cs="宋体"/>
                <w:kern w:val="0"/>
                <w:sz w:val="22"/>
                <w:lang w:eastAsia="zh-CN"/>
              </w:rPr>
              <w:t>以上</w:t>
            </w:r>
            <w:r>
              <w:rPr>
                <w:rFonts w:hint="eastAsia" w:ascii="楷体" w:hAnsi="楷体" w:eastAsia="楷体" w:cs="宋体"/>
                <w:kern w:val="0"/>
                <w:sz w:val="22"/>
              </w:rPr>
              <w:t>的</w:t>
            </w:r>
          </w:p>
        </w:tc>
        <w:tc>
          <w:tcPr>
            <w:tcW w:w="3855" w:type="dxa"/>
            <w:tcBorders>
              <w:top w:val="single" w:color="000000" w:sz="4" w:space="0"/>
              <w:left w:val="single" w:color="000000" w:sz="4" w:space="0"/>
              <w:bottom w:val="single" w:color="auto" w:sz="4" w:space="0"/>
              <w:right w:val="single" w:color="000000" w:sz="4" w:space="0"/>
            </w:tcBorders>
            <w:vAlign w:val="center"/>
          </w:tcPr>
          <w:p>
            <w:pPr>
              <w:widowControl/>
              <w:ind w:firstLine="4" w:firstLineChars="2"/>
              <w:jc w:val="both"/>
              <w:rPr>
                <w:rFonts w:hint="eastAsia" w:ascii="楷体" w:hAnsi="楷体" w:eastAsia="楷体" w:cs="楷体"/>
                <w:b w:val="0"/>
                <w:bCs w:val="0"/>
                <w:color w:val="auto"/>
                <w:kern w:val="0"/>
                <w:sz w:val="22"/>
                <w:szCs w:val="22"/>
                <w:lang w:eastAsia="zh-CN"/>
              </w:rPr>
            </w:pPr>
            <w:r>
              <w:rPr>
                <w:rFonts w:hint="eastAsia" w:ascii="楷体" w:hAnsi="楷体" w:eastAsia="楷体" w:cs="楷体"/>
                <w:b w:val="0"/>
                <w:bCs w:val="0"/>
                <w:color w:val="auto"/>
                <w:kern w:val="0"/>
                <w:sz w:val="22"/>
                <w:szCs w:val="22"/>
              </w:rPr>
              <w:t>暂停其医疗费用联网结算</w:t>
            </w:r>
            <w:r>
              <w:rPr>
                <w:rFonts w:hint="eastAsia" w:ascii="楷体" w:hAnsi="楷体" w:eastAsia="楷体" w:cs="楷体"/>
                <w:b w:val="0"/>
                <w:bCs w:val="0"/>
                <w:color w:val="auto"/>
                <w:kern w:val="0"/>
                <w:sz w:val="22"/>
                <w:szCs w:val="22"/>
                <w:lang w:val="en-US" w:eastAsia="zh-CN"/>
              </w:rPr>
              <w:t>9</w:t>
            </w:r>
            <w:r>
              <w:rPr>
                <w:rFonts w:hint="eastAsia" w:ascii="楷体" w:hAnsi="楷体" w:eastAsia="楷体" w:cs="楷体"/>
                <w:b w:val="0"/>
                <w:bCs w:val="0"/>
                <w:color w:val="auto"/>
                <w:kern w:val="0"/>
                <w:sz w:val="22"/>
                <w:szCs w:val="22"/>
              </w:rPr>
              <w:t>个月至</w:t>
            </w:r>
            <w:r>
              <w:rPr>
                <w:rFonts w:hint="eastAsia" w:ascii="楷体" w:hAnsi="楷体" w:eastAsia="楷体" w:cs="楷体"/>
                <w:b w:val="0"/>
                <w:bCs w:val="0"/>
                <w:color w:val="auto"/>
                <w:kern w:val="0"/>
                <w:sz w:val="22"/>
                <w:szCs w:val="22"/>
                <w:lang w:val="en-US" w:eastAsia="zh-CN"/>
              </w:rPr>
              <w:t>12</w:t>
            </w:r>
            <w:r>
              <w:rPr>
                <w:rFonts w:hint="eastAsia" w:ascii="楷体" w:hAnsi="楷体" w:eastAsia="楷体" w:cs="楷体"/>
                <w:b w:val="0"/>
                <w:bCs w:val="0"/>
                <w:color w:val="auto"/>
                <w:kern w:val="0"/>
                <w:sz w:val="22"/>
                <w:szCs w:val="22"/>
              </w:rPr>
              <w:t>个月</w:t>
            </w:r>
            <w:r>
              <w:rPr>
                <w:rFonts w:hint="eastAsia" w:ascii="楷体" w:hAnsi="楷体" w:eastAsia="楷体" w:cs="楷体"/>
                <w:b w:val="0"/>
                <w:bCs w:val="0"/>
                <w:color w:val="auto"/>
                <w:kern w:val="0"/>
                <w:sz w:val="22"/>
                <w:szCs w:val="22"/>
                <w:lang w:eastAsia="zh-CN"/>
              </w:rPr>
              <w:t>、</w:t>
            </w:r>
            <w:r>
              <w:rPr>
                <w:rFonts w:hint="eastAsia" w:ascii="楷体" w:hAnsi="楷体" w:eastAsia="楷体" w:cs="宋体"/>
                <w:kern w:val="0"/>
                <w:sz w:val="22"/>
              </w:rPr>
              <w:t>按照</w:t>
            </w:r>
            <w:r>
              <w:rPr>
                <w:rFonts w:hint="eastAsia" w:ascii="楷体" w:hAnsi="楷体" w:eastAsia="楷体" w:cs="宋体"/>
                <w:kern w:val="0"/>
                <w:sz w:val="22"/>
                <w:lang w:val="en-US" w:eastAsia="zh-CN"/>
              </w:rPr>
              <w:t>4</w:t>
            </w:r>
            <w:r>
              <w:rPr>
                <w:rFonts w:hint="eastAsia" w:ascii="楷体" w:hAnsi="楷体" w:eastAsia="楷体" w:cs="宋体"/>
                <w:kern w:val="0"/>
                <w:sz w:val="22"/>
              </w:rPr>
              <w:t>倍以上</w:t>
            </w:r>
            <w:r>
              <w:rPr>
                <w:rFonts w:hint="eastAsia" w:ascii="楷体" w:hAnsi="楷体" w:eastAsia="楷体" w:cs="宋体"/>
                <w:kern w:val="0"/>
                <w:sz w:val="22"/>
                <w:lang w:val="en-US" w:eastAsia="zh-CN"/>
              </w:rPr>
              <w:t>5</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p>
        </w:tc>
        <w:tc>
          <w:tcPr>
            <w:tcW w:w="1953" w:type="dxa"/>
            <w:vMerge w:val="continue"/>
            <w:tcBorders>
              <w:left w:val="single" w:color="000000" w:sz="4" w:space="0"/>
              <w:bottom w:val="single" w:color="auto" w:sz="4" w:space="0"/>
              <w:right w:val="single" w:color="000000" w:sz="4" w:space="0"/>
            </w:tcBorders>
            <w:vAlign w:val="center"/>
          </w:tcPr>
          <w:p>
            <w:pPr>
              <w:widowControl/>
              <w:ind w:firstLine="4" w:firstLineChars="2"/>
              <w:jc w:val="center"/>
              <w:rPr>
                <w:rFonts w:hint="eastAsia" w:ascii="楷体" w:hAnsi="楷体" w:eastAsia="楷体" w:cs="楷体"/>
                <w:b w:val="0"/>
                <w:bCs w:val="0"/>
                <w:color w:val="auto"/>
                <w:kern w:val="0"/>
                <w:sz w:val="22"/>
                <w:szCs w:val="22"/>
              </w:rPr>
            </w:pPr>
          </w:p>
        </w:tc>
      </w:tr>
      <w:tr>
        <w:tblPrEx>
          <w:tblCellMar>
            <w:top w:w="0" w:type="dxa"/>
            <w:left w:w="108" w:type="dxa"/>
            <w:bottom w:w="0" w:type="dxa"/>
            <w:right w:w="108" w:type="dxa"/>
          </w:tblCellMar>
        </w:tblPrEx>
        <w:trPr>
          <w:trHeight w:val="90" w:hRule="atLeast"/>
        </w:trPr>
        <w:tc>
          <w:tcPr>
            <w:tcW w:w="4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楷体" w:hAnsi="楷体" w:eastAsia="楷体" w:cs="宋体"/>
                <w:kern w:val="0"/>
                <w:sz w:val="22"/>
                <w:highlight w:val="none"/>
                <w:lang w:val="en-US" w:eastAsia="zh-CN"/>
              </w:rPr>
            </w:pPr>
            <w:r>
              <w:rPr>
                <w:rFonts w:hint="eastAsia" w:ascii="楷体" w:hAnsi="楷体" w:eastAsia="楷体" w:cs="宋体"/>
                <w:kern w:val="0"/>
                <w:sz w:val="22"/>
                <w:highlight w:val="none"/>
                <w:lang w:val="en-US" w:eastAsia="zh-CN"/>
              </w:rPr>
              <w:t>7</w:t>
            </w:r>
          </w:p>
        </w:tc>
        <w:tc>
          <w:tcPr>
            <w:tcW w:w="433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22"/>
                <w:highlight w:val="none"/>
              </w:rPr>
            </w:pPr>
            <w:r>
              <w:rPr>
                <w:rFonts w:hint="eastAsia" w:ascii="楷体" w:hAnsi="楷体" w:eastAsia="楷体" w:cs="宋体"/>
                <w:kern w:val="0"/>
                <w:sz w:val="22"/>
                <w:highlight w:val="none"/>
                <w:lang w:eastAsia="zh-CN"/>
              </w:rPr>
              <w:t>用人单位未按照规定将生育津贴足额支付给职工的</w:t>
            </w:r>
          </w:p>
        </w:tc>
        <w:tc>
          <w:tcPr>
            <w:tcW w:w="238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22"/>
                <w:highlight w:val="none"/>
              </w:rPr>
            </w:pPr>
            <w:r>
              <w:rPr>
                <w:rFonts w:hint="eastAsia" w:ascii="楷体" w:hAnsi="楷体" w:eastAsia="楷体" w:cs="宋体"/>
                <w:kern w:val="0"/>
                <w:sz w:val="22"/>
                <w:highlight w:val="none"/>
                <w:lang w:eastAsia="zh-CN"/>
              </w:rPr>
              <w:t>《</w:t>
            </w:r>
            <w:r>
              <w:rPr>
                <w:rFonts w:hint="eastAsia" w:ascii="楷体" w:hAnsi="楷体" w:eastAsia="楷体" w:cs="宋体"/>
                <w:kern w:val="0"/>
                <w:sz w:val="22"/>
                <w:highlight w:val="none"/>
              </w:rPr>
              <w:t>广东省职工生育保险规定</w:t>
            </w:r>
            <w:r>
              <w:rPr>
                <w:rFonts w:hint="eastAsia" w:ascii="楷体" w:hAnsi="楷体" w:eastAsia="楷体" w:cs="宋体"/>
                <w:kern w:val="0"/>
                <w:sz w:val="22"/>
                <w:highlight w:val="none"/>
                <w:lang w:eastAsia="zh-CN"/>
              </w:rPr>
              <w:t>》第四十条</w:t>
            </w:r>
          </w:p>
        </w:tc>
        <w:tc>
          <w:tcPr>
            <w:tcW w:w="384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22"/>
                <w:highlight w:val="none"/>
              </w:rPr>
            </w:pPr>
            <w:r>
              <w:rPr>
                <w:rFonts w:hint="eastAsia" w:ascii="楷体" w:hAnsi="楷体" w:eastAsia="楷体" w:cs="宋体"/>
                <w:kern w:val="0"/>
                <w:sz w:val="22"/>
                <w:highlight w:val="none"/>
              </w:rPr>
              <w:t>责令限期改正</w:t>
            </w:r>
            <w:r>
              <w:rPr>
                <w:rFonts w:hint="eastAsia" w:ascii="楷体" w:hAnsi="楷体" w:eastAsia="楷体" w:cs="宋体"/>
                <w:kern w:val="0"/>
                <w:sz w:val="22"/>
                <w:highlight w:val="none"/>
                <w:lang w:eastAsia="zh-CN"/>
              </w:rPr>
              <w:t>，</w:t>
            </w:r>
            <w:r>
              <w:rPr>
                <w:rFonts w:hint="eastAsia" w:ascii="楷体" w:hAnsi="楷体" w:eastAsia="楷体" w:cs="宋体"/>
                <w:kern w:val="0"/>
                <w:sz w:val="22"/>
                <w:highlight w:val="none"/>
              </w:rPr>
              <w:t>逾期不改正的，可处2000元以上2万元以下的罚款</w:t>
            </w:r>
          </w:p>
        </w:tc>
        <w:tc>
          <w:tcPr>
            <w:tcW w:w="4230" w:type="dxa"/>
            <w:tcBorders>
              <w:top w:val="single" w:color="auto" w:sz="4" w:space="0"/>
              <w:left w:val="single" w:color="auto" w:sz="4" w:space="0"/>
              <w:bottom w:val="single" w:color="auto" w:sz="4" w:space="0"/>
              <w:right w:val="single" w:color="auto" w:sz="4" w:space="0"/>
            </w:tcBorders>
            <w:vAlign w:val="center"/>
          </w:tcPr>
          <w:p>
            <w:pPr>
              <w:widowControl/>
              <w:jc w:val="both"/>
              <w:rPr>
                <w:rFonts w:ascii="楷体" w:hAnsi="楷体" w:eastAsia="楷体" w:cs="宋体"/>
                <w:kern w:val="0"/>
                <w:sz w:val="22"/>
                <w:highlight w:val="none"/>
              </w:rPr>
            </w:pPr>
            <w:r>
              <w:rPr>
                <w:rFonts w:hint="eastAsia" w:ascii="楷体" w:hAnsi="楷体" w:eastAsia="楷体" w:cs="宋体"/>
                <w:kern w:val="0"/>
                <w:sz w:val="22"/>
                <w:szCs w:val="22"/>
                <w:highlight w:val="none"/>
                <w:lang w:val="en-US" w:eastAsia="zh-CN" w:bidi="ar-SA"/>
              </w:rPr>
              <w:t>未足额支付的生育津贴</w:t>
            </w:r>
            <w:r>
              <w:rPr>
                <w:rFonts w:hint="eastAsia" w:ascii="楷体" w:hAnsi="楷体" w:eastAsia="楷体" w:cs="宋体"/>
                <w:kern w:val="0"/>
                <w:sz w:val="22"/>
                <w:highlight w:val="none"/>
                <w:lang w:val="en-US" w:eastAsia="zh-CN"/>
              </w:rPr>
              <w:t>2</w:t>
            </w:r>
            <w:r>
              <w:rPr>
                <w:rFonts w:hint="eastAsia" w:ascii="楷体" w:hAnsi="楷体" w:eastAsia="楷体" w:cs="宋体"/>
                <w:kern w:val="0"/>
                <w:sz w:val="22"/>
                <w:highlight w:val="none"/>
                <w:lang w:eastAsia="zh-CN"/>
              </w:rPr>
              <w:t>千</w:t>
            </w:r>
            <w:r>
              <w:rPr>
                <w:rFonts w:hint="eastAsia" w:ascii="楷体" w:hAnsi="楷体" w:eastAsia="楷体" w:cs="宋体"/>
                <w:kern w:val="0"/>
                <w:sz w:val="22"/>
                <w:highlight w:val="none"/>
              </w:rPr>
              <w:t>元</w:t>
            </w:r>
            <w:r>
              <w:rPr>
                <w:rFonts w:hint="eastAsia" w:ascii="楷体" w:hAnsi="楷体" w:eastAsia="楷体" w:cs="宋体"/>
                <w:kern w:val="0"/>
                <w:sz w:val="22"/>
                <w:highlight w:val="none"/>
                <w:lang w:eastAsia="zh-CN"/>
              </w:rPr>
              <w:t>以下</w:t>
            </w:r>
            <w:r>
              <w:rPr>
                <w:rFonts w:hint="eastAsia" w:ascii="楷体" w:hAnsi="楷体" w:eastAsia="楷体" w:cs="宋体"/>
                <w:kern w:val="0"/>
                <w:sz w:val="22"/>
                <w:highlight w:val="none"/>
              </w:rPr>
              <w:t>的</w:t>
            </w:r>
          </w:p>
        </w:tc>
        <w:tc>
          <w:tcPr>
            <w:tcW w:w="3855" w:type="dxa"/>
            <w:tcBorders>
              <w:top w:val="single" w:color="auto" w:sz="4" w:space="0"/>
              <w:left w:val="single" w:color="auto" w:sz="4" w:space="0"/>
              <w:bottom w:val="single" w:color="auto" w:sz="4" w:space="0"/>
              <w:right w:val="single" w:color="auto" w:sz="4" w:space="0"/>
            </w:tcBorders>
            <w:vAlign w:val="center"/>
          </w:tcPr>
          <w:p>
            <w:pPr>
              <w:widowControl/>
              <w:jc w:val="both"/>
              <w:rPr>
                <w:rFonts w:ascii="楷体" w:hAnsi="楷体" w:eastAsia="楷体" w:cs="宋体"/>
                <w:kern w:val="0"/>
                <w:sz w:val="22"/>
                <w:highlight w:val="none"/>
              </w:rPr>
            </w:pPr>
            <w:r>
              <w:rPr>
                <w:rFonts w:hint="eastAsia" w:ascii="楷体" w:hAnsi="楷体" w:eastAsia="楷体" w:cs="宋体"/>
                <w:kern w:val="0"/>
                <w:sz w:val="22"/>
                <w:highlight w:val="none"/>
              </w:rPr>
              <w:t>按照</w:t>
            </w:r>
            <w:r>
              <w:rPr>
                <w:rFonts w:hint="eastAsia" w:ascii="楷体" w:hAnsi="楷体" w:eastAsia="楷体" w:cs="宋体"/>
                <w:kern w:val="0"/>
                <w:sz w:val="22"/>
                <w:highlight w:val="none"/>
                <w:lang w:val="en-US" w:eastAsia="zh-CN"/>
              </w:rPr>
              <w:t>2千</w:t>
            </w:r>
            <w:r>
              <w:rPr>
                <w:rFonts w:hint="eastAsia" w:ascii="楷体" w:hAnsi="楷体" w:eastAsia="楷体" w:cs="宋体"/>
                <w:kern w:val="0"/>
                <w:sz w:val="22"/>
                <w:highlight w:val="none"/>
              </w:rPr>
              <w:t>元以上</w:t>
            </w:r>
            <w:r>
              <w:rPr>
                <w:rFonts w:hint="eastAsia" w:ascii="楷体" w:hAnsi="楷体" w:eastAsia="楷体" w:cs="宋体"/>
                <w:kern w:val="0"/>
                <w:sz w:val="22"/>
                <w:highlight w:val="none"/>
                <w:lang w:val="en-US" w:eastAsia="zh-CN"/>
              </w:rPr>
              <w:t>5千</w:t>
            </w:r>
            <w:r>
              <w:rPr>
                <w:rFonts w:hint="eastAsia" w:ascii="楷体" w:hAnsi="楷体" w:eastAsia="楷体" w:cs="宋体"/>
                <w:kern w:val="0"/>
                <w:sz w:val="22"/>
                <w:highlight w:val="none"/>
              </w:rPr>
              <w:t>元</w:t>
            </w:r>
            <w:r>
              <w:rPr>
                <w:rFonts w:hint="eastAsia" w:ascii="楷体" w:hAnsi="楷体" w:eastAsia="楷体" w:cs="宋体"/>
                <w:kern w:val="0"/>
                <w:sz w:val="22"/>
                <w:highlight w:val="none"/>
                <w:lang w:eastAsia="zh-CN"/>
              </w:rPr>
              <w:t>以下</w:t>
            </w:r>
            <w:r>
              <w:rPr>
                <w:rFonts w:hint="eastAsia" w:ascii="楷体" w:hAnsi="楷体" w:eastAsia="楷体" w:cs="宋体"/>
                <w:kern w:val="0"/>
                <w:sz w:val="22"/>
                <w:highlight w:val="none"/>
              </w:rPr>
              <w:t>标准罚款</w:t>
            </w:r>
          </w:p>
        </w:tc>
        <w:tc>
          <w:tcPr>
            <w:tcW w:w="195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cs="宋体"/>
                <w:color w:val="000000"/>
                <w:spacing w:val="-10"/>
                <w:kern w:val="0"/>
                <w:sz w:val="22"/>
                <w:highlight w:val="none"/>
                <w:lang w:eastAsia="zh-CN"/>
              </w:rPr>
            </w:pPr>
            <w:r>
              <w:rPr>
                <w:rFonts w:hint="eastAsia" w:ascii="楷体" w:hAnsi="楷体" w:eastAsia="楷体" w:cs="宋体"/>
                <w:kern w:val="0"/>
                <w:sz w:val="22"/>
                <w:highlight w:val="none"/>
              </w:rPr>
              <w:t>立即自行改正或在责令改正的期限内</w:t>
            </w:r>
            <w:r>
              <w:rPr>
                <w:rFonts w:hint="eastAsia" w:ascii="楷体" w:hAnsi="楷体" w:eastAsia="楷体" w:cs="宋体"/>
                <w:kern w:val="0"/>
                <w:sz w:val="22"/>
                <w:highlight w:val="none"/>
                <w:lang w:eastAsia="zh-CN"/>
              </w:rPr>
              <w:t>积极</w:t>
            </w:r>
            <w:r>
              <w:rPr>
                <w:rFonts w:hint="eastAsia" w:ascii="楷体" w:hAnsi="楷体" w:eastAsia="楷体" w:cs="宋体"/>
                <w:kern w:val="0"/>
                <w:sz w:val="22"/>
                <w:highlight w:val="none"/>
              </w:rPr>
              <w:t>改正</w:t>
            </w:r>
            <w:r>
              <w:rPr>
                <w:rFonts w:hint="eastAsia" w:ascii="楷体" w:hAnsi="楷体" w:eastAsia="楷体" w:cs="宋体"/>
                <w:kern w:val="0"/>
                <w:sz w:val="22"/>
                <w:highlight w:val="none"/>
                <w:lang w:eastAsia="zh-CN"/>
              </w:rPr>
              <w:t>，且</w:t>
            </w:r>
            <w:r>
              <w:rPr>
                <w:rFonts w:hint="eastAsia" w:ascii="楷体" w:hAnsi="楷体" w:eastAsia="楷体" w:cs="宋体"/>
                <w:kern w:val="0"/>
                <w:sz w:val="22"/>
                <w:highlight w:val="none"/>
                <w:lang w:val="en-US" w:eastAsia="zh-CN"/>
              </w:rPr>
              <w:t>改正合格的，不予处罚。</w:t>
            </w:r>
          </w:p>
        </w:tc>
      </w:tr>
      <w:tr>
        <w:tblPrEx>
          <w:tblCellMar>
            <w:top w:w="0" w:type="dxa"/>
            <w:left w:w="108" w:type="dxa"/>
            <w:bottom w:w="0" w:type="dxa"/>
            <w:right w:w="108" w:type="dxa"/>
          </w:tblCellMar>
        </w:tblPrEx>
        <w:trPr>
          <w:trHeight w:val="540" w:hRule="atLeast"/>
        </w:trPr>
        <w:tc>
          <w:tcPr>
            <w:tcW w:w="488"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楷体" w:hAnsi="楷体" w:eastAsia="楷体" w:cs="宋体"/>
                <w:kern w:val="0"/>
                <w:sz w:val="22"/>
                <w:highlight w:val="none"/>
              </w:rPr>
            </w:pPr>
          </w:p>
        </w:tc>
        <w:tc>
          <w:tcPr>
            <w:tcW w:w="433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 w:hAnsi="楷体" w:eastAsia="楷体" w:cs="宋体"/>
                <w:kern w:val="0"/>
                <w:sz w:val="22"/>
                <w:highlight w:val="none"/>
              </w:rPr>
            </w:pPr>
          </w:p>
        </w:tc>
        <w:tc>
          <w:tcPr>
            <w:tcW w:w="238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 w:hAnsi="楷体" w:eastAsia="楷体" w:cs="宋体"/>
                <w:kern w:val="0"/>
                <w:sz w:val="22"/>
                <w:highlight w:val="none"/>
              </w:rPr>
            </w:pPr>
          </w:p>
        </w:tc>
        <w:tc>
          <w:tcPr>
            <w:tcW w:w="3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 w:hAnsi="楷体" w:eastAsia="楷体" w:cs="宋体"/>
                <w:kern w:val="0"/>
                <w:sz w:val="22"/>
                <w:highlight w:val="none"/>
              </w:rPr>
            </w:pPr>
          </w:p>
        </w:tc>
        <w:tc>
          <w:tcPr>
            <w:tcW w:w="4230" w:type="dxa"/>
            <w:tcBorders>
              <w:top w:val="single" w:color="auto" w:sz="4" w:space="0"/>
              <w:left w:val="nil"/>
              <w:bottom w:val="single" w:color="auto" w:sz="4" w:space="0"/>
              <w:right w:val="single" w:color="auto" w:sz="4" w:space="0"/>
            </w:tcBorders>
            <w:vAlign w:val="center"/>
          </w:tcPr>
          <w:p>
            <w:pPr>
              <w:widowControl/>
              <w:jc w:val="both"/>
              <w:rPr>
                <w:rFonts w:ascii="楷体" w:hAnsi="楷体" w:eastAsia="楷体" w:cs="宋体"/>
                <w:kern w:val="0"/>
                <w:sz w:val="22"/>
                <w:highlight w:val="none"/>
              </w:rPr>
            </w:pPr>
            <w:r>
              <w:rPr>
                <w:rFonts w:hint="eastAsia" w:ascii="楷体" w:hAnsi="楷体" w:eastAsia="楷体" w:cs="宋体"/>
                <w:kern w:val="0"/>
                <w:sz w:val="22"/>
                <w:szCs w:val="22"/>
                <w:highlight w:val="none"/>
                <w:lang w:val="en-US" w:eastAsia="zh-CN" w:bidi="ar-SA"/>
              </w:rPr>
              <w:t>未足额支付的生育津贴2</w:t>
            </w:r>
            <w:r>
              <w:rPr>
                <w:rFonts w:hint="eastAsia" w:ascii="楷体" w:hAnsi="楷体" w:eastAsia="楷体" w:cs="宋体"/>
                <w:kern w:val="0"/>
                <w:sz w:val="22"/>
                <w:highlight w:val="none"/>
                <w:lang w:eastAsia="zh-CN"/>
              </w:rPr>
              <w:t>千</w:t>
            </w:r>
            <w:r>
              <w:rPr>
                <w:rFonts w:hint="eastAsia" w:ascii="楷体" w:hAnsi="楷体" w:eastAsia="楷体" w:cs="宋体"/>
                <w:kern w:val="0"/>
                <w:sz w:val="22"/>
                <w:highlight w:val="none"/>
              </w:rPr>
              <w:t>元</w:t>
            </w:r>
            <w:r>
              <w:rPr>
                <w:rFonts w:hint="eastAsia" w:ascii="楷体" w:hAnsi="楷体" w:eastAsia="楷体" w:cs="宋体"/>
                <w:kern w:val="0"/>
                <w:sz w:val="22"/>
                <w:highlight w:val="none"/>
                <w:lang w:eastAsia="zh-CN"/>
              </w:rPr>
              <w:t>以上</w:t>
            </w:r>
            <w:r>
              <w:rPr>
                <w:rFonts w:hint="eastAsia" w:ascii="楷体" w:hAnsi="楷体" w:eastAsia="楷体" w:cs="宋体"/>
                <w:kern w:val="0"/>
                <w:sz w:val="22"/>
                <w:highlight w:val="none"/>
                <w:lang w:val="en-US" w:eastAsia="zh-CN"/>
              </w:rPr>
              <w:t>5千元以下</w:t>
            </w:r>
            <w:r>
              <w:rPr>
                <w:rFonts w:hint="eastAsia" w:ascii="楷体" w:hAnsi="楷体" w:eastAsia="楷体" w:cs="宋体"/>
                <w:kern w:val="0"/>
                <w:sz w:val="22"/>
                <w:highlight w:val="none"/>
              </w:rPr>
              <w:t>的</w:t>
            </w:r>
          </w:p>
        </w:tc>
        <w:tc>
          <w:tcPr>
            <w:tcW w:w="3855" w:type="dxa"/>
            <w:tcBorders>
              <w:top w:val="single" w:color="auto" w:sz="4" w:space="0"/>
              <w:left w:val="nil"/>
              <w:bottom w:val="single" w:color="auto" w:sz="4" w:space="0"/>
              <w:right w:val="nil"/>
            </w:tcBorders>
            <w:vAlign w:val="center"/>
          </w:tcPr>
          <w:p>
            <w:pPr>
              <w:widowControl/>
              <w:jc w:val="both"/>
              <w:rPr>
                <w:rFonts w:ascii="楷体" w:hAnsi="楷体" w:eastAsia="楷体" w:cs="宋体"/>
                <w:kern w:val="0"/>
                <w:sz w:val="22"/>
                <w:highlight w:val="none"/>
              </w:rPr>
            </w:pPr>
            <w:r>
              <w:rPr>
                <w:rFonts w:hint="eastAsia" w:ascii="楷体" w:hAnsi="楷体" w:eastAsia="楷体" w:cs="宋体"/>
                <w:kern w:val="0"/>
                <w:sz w:val="22"/>
                <w:highlight w:val="none"/>
              </w:rPr>
              <w:t>按照</w:t>
            </w:r>
            <w:r>
              <w:rPr>
                <w:rFonts w:hint="eastAsia" w:ascii="楷体" w:hAnsi="楷体" w:eastAsia="楷体" w:cs="宋体"/>
                <w:kern w:val="0"/>
                <w:sz w:val="22"/>
                <w:highlight w:val="none"/>
                <w:lang w:val="en-US" w:eastAsia="zh-CN"/>
              </w:rPr>
              <w:t>5千</w:t>
            </w:r>
            <w:r>
              <w:rPr>
                <w:rFonts w:hint="eastAsia" w:ascii="楷体" w:hAnsi="楷体" w:eastAsia="楷体" w:cs="宋体"/>
                <w:kern w:val="0"/>
                <w:sz w:val="22"/>
                <w:highlight w:val="none"/>
              </w:rPr>
              <w:t>元以上</w:t>
            </w:r>
            <w:r>
              <w:rPr>
                <w:rFonts w:hint="eastAsia" w:ascii="楷体" w:hAnsi="楷体" w:eastAsia="楷体" w:cs="宋体"/>
                <w:kern w:val="0"/>
                <w:sz w:val="22"/>
                <w:highlight w:val="none"/>
                <w:lang w:val="en-US" w:eastAsia="zh-CN"/>
              </w:rPr>
              <w:t>1万</w:t>
            </w:r>
            <w:r>
              <w:rPr>
                <w:rFonts w:hint="eastAsia" w:ascii="楷体" w:hAnsi="楷体" w:eastAsia="楷体" w:cs="宋体"/>
                <w:kern w:val="0"/>
                <w:sz w:val="22"/>
                <w:highlight w:val="none"/>
              </w:rPr>
              <w:t>元</w:t>
            </w:r>
            <w:r>
              <w:rPr>
                <w:rFonts w:hint="eastAsia" w:ascii="楷体" w:hAnsi="楷体" w:eastAsia="楷体" w:cs="宋体"/>
                <w:kern w:val="0"/>
                <w:sz w:val="22"/>
                <w:highlight w:val="none"/>
                <w:lang w:eastAsia="zh-CN"/>
              </w:rPr>
              <w:t>以下</w:t>
            </w:r>
            <w:r>
              <w:rPr>
                <w:rFonts w:hint="eastAsia" w:ascii="楷体" w:hAnsi="楷体" w:eastAsia="楷体" w:cs="宋体"/>
                <w:kern w:val="0"/>
                <w:sz w:val="22"/>
                <w:highlight w:val="none"/>
              </w:rPr>
              <w:t>标准罚款</w:t>
            </w:r>
          </w:p>
        </w:tc>
        <w:tc>
          <w:tcPr>
            <w:tcW w:w="1953" w:type="dxa"/>
            <w:vMerge w:val="continue"/>
            <w:tcBorders>
              <w:top w:val="single" w:color="auto" w:sz="4" w:space="0"/>
              <w:left w:val="single" w:color="auto" w:sz="4" w:space="0"/>
              <w:right w:val="single" w:color="auto" w:sz="4" w:space="0"/>
            </w:tcBorders>
            <w:vAlign w:val="center"/>
          </w:tcPr>
          <w:p>
            <w:pPr>
              <w:widowControl/>
              <w:ind w:firstLine="400"/>
              <w:jc w:val="left"/>
              <w:rPr>
                <w:rFonts w:ascii="楷体_GB2312" w:hAnsi="宋体" w:eastAsia="楷体_GB2312" w:cs="宋体"/>
                <w:color w:val="000000"/>
                <w:spacing w:val="-10"/>
                <w:kern w:val="0"/>
                <w:sz w:val="22"/>
                <w:highlight w:val="none"/>
              </w:rPr>
            </w:pPr>
          </w:p>
        </w:tc>
      </w:tr>
      <w:tr>
        <w:tblPrEx>
          <w:tblCellMar>
            <w:top w:w="0" w:type="dxa"/>
            <w:left w:w="108" w:type="dxa"/>
            <w:bottom w:w="0" w:type="dxa"/>
            <w:right w:w="108" w:type="dxa"/>
          </w:tblCellMar>
        </w:tblPrEx>
        <w:trPr>
          <w:trHeight w:val="780" w:hRule="atLeast"/>
        </w:trPr>
        <w:tc>
          <w:tcPr>
            <w:tcW w:w="488" w:type="dxa"/>
            <w:vMerge w:val="continue"/>
            <w:tcBorders>
              <w:top w:val="single" w:color="000000" w:sz="4" w:space="0"/>
              <w:left w:val="single" w:color="auto" w:sz="4" w:space="0"/>
              <w:bottom w:val="single" w:color="000000" w:sz="4" w:space="0"/>
              <w:right w:val="single" w:color="auto" w:sz="4" w:space="0"/>
            </w:tcBorders>
            <w:vAlign w:val="center"/>
          </w:tcPr>
          <w:p>
            <w:pPr>
              <w:widowControl/>
              <w:jc w:val="center"/>
              <w:rPr>
                <w:rFonts w:ascii="楷体" w:hAnsi="楷体" w:eastAsia="楷体" w:cs="宋体"/>
                <w:kern w:val="0"/>
                <w:sz w:val="22"/>
                <w:highlight w:val="none"/>
              </w:rPr>
            </w:pPr>
          </w:p>
        </w:tc>
        <w:tc>
          <w:tcPr>
            <w:tcW w:w="4337"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楷体" w:hAnsi="楷体" w:eastAsia="楷体" w:cs="宋体"/>
                <w:kern w:val="0"/>
                <w:sz w:val="22"/>
                <w:highlight w:val="none"/>
              </w:rPr>
            </w:pPr>
          </w:p>
        </w:tc>
        <w:tc>
          <w:tcPr>
            <w:tcW w:w="2385"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楷体" w:hAnsi="楷体" w:eastAsia="楷体" w:cs="宋体"/>
                <w:kern w:val="0"/>
                <w:sz w:val="22"/>
                <w:highlight w:val="none"/>
              </w:rPr>
            </w:pPr>
          </w:p>
        </w:tc>
        <w:tc>
          <w:tcPr>
            <w:tcW w:w="3840"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楷体" w:hAnsi="楷体" w:eastAsia="楷体" w:cs="宋体"/>
                <w:kern w:val="0"/>
                <w:sz w:val="22"/>
                <w:highlight w:val="none"/>
              </w:rPr>
            </w:pPr>
          </w:p>
        </w:tc>
        <w:tc>
          <w:tcPr>
            <w:tcW w:w="4230" w:type="dxa"/>
            <w:tcBorders>
              <w:top w:val="nil"/>
              <w:left w:val="nil"/>
              <w:bottom w:val="single" w:color="auto" w:sz="4" w:space="0"/>
              <w:right w:val="single" w:color="auto" w:sz="4" w:space="0"/>
            </w:tcBorders>
            <w:vAlign w:val="center"/>
          </w:tcPr>
          <w:p>
            <w:pPr>
              <w:widowControl/>
              <w:jc w:val="both"/>
              <w:rPr>
                <w:rFonts w:ascii="楷体" w:hAnsi="楷体" w:eastAsia="楷体" w:cs="宋体"/>
                <w:kern w:val="0"/>
                <w:sz w:val="22"/>
                <w:highlight w:val="none"/>
              </w:rPr>
            </w:pPr>
            <w:r>
              <w:rPr>
                <w:rFonts w:hint="eastAsia" w:ascii="楷体" w:hAnsi="楷体" w:eastAsia="楷体" w:cs="宋体"/>
                <w:kern w:val="0"/>
                <w:sz w:val="22"/>
                <w:szCs w:val="22"/>
                <w:highlight w:val="none"/>
                <w:lang w:val="en-US" w:eastAsia="zh-CN" w:bidi="ar-SA"/>
              </w:rPr>
              <w:t>未足额支付的生育津贴</w:t>
            </w:r>
            <w:r>
              <w:rPr>
                <w:rFonts w:hint="eastAsia" w:ascii="楷体" w:hAnsi="楷体" w:eastAsia="楷体" w:cs="宋体"/>
                <w:kern w:val="0"/>
                <w:sz w:val="22"/>
                <w:highlight w:val="none"/>
                <w:lang w:val="en-US" w:eastAsia="zh-CN"/>
              </w:rPr>
              <w:t>5千元以上</w:t>
            </w:r>
            <w:r>
              <w:rPr>
                <w:rFonts w:hint="eastAsia" w:ascii="楷体" w:hAnsi="楷体" w:eastAsia="楷体" w:cs="宋体"/>
                <w:kern w:val="0"/>
                <w:sz w:val="22"/>
                <w:highlight w:val="none"/>
              </w:rPr>
              <w:t>的</w:t>
            </w:r>
          </w:p>
        </w:tc>
        <w:tc>
          <w:tcPr>
            <w:tcW w:w="3855" w:type="dxa"/>
            <w:tcBorders>
              <w:top w:val="nil"/>
              <w:left w:val="nil"/>
              <w:bottom w:val="single" w:color="auto" w:sz="4" w:space="0"/>
              <w:right w:val="nil"/>
            </w:tcBorders>
            <w:vAlign w:val="center"/>
          </w:tcPr>
          <w:p>
            <w:pPr>
              <w:widowControl/>
              <w:jc w:val="both"/>
              <w:rPr>
                <w:rFonts w:ascii="楷体" w:hAnsi="楷体" w:eastAsia="楷体" w:cs="宋体"/>
                <w:kern w:val="0"/>
                <w:sz w:val="22"/>
                <w:highlight w:val="none"/>
              </w:rPr>
            </w:pPr>
            <w:r>
              <w:rPr>
                <w:rFonts w:hint="eastAsia" w:ascii="楷体" w:hAnsi="楷体" w:eastAsia="楷体" w:cs="宋体"/>
                <w:kern w:val="0"/>
                <w:sz w:val="22"/>
                <w:highlight w:val="none"/>
              </w:rPr>
              <w:t>按照</w:t>
            </w:r>
            <w:r>
              <w:rPr>
                <w:rFonts w:hint="eastAsia" w:ascii="楷体" w:hAnsi="楷体" w:eastAsia="楷体" w:cs="宋体"/>
                <w:kern w:val="0"/>
                <w:sz w:val="22"/>
                <w:highlight w:val="none"/>
                <w:lang w:val="en-US" w:eastAsia="zh-CN"/>
              </w:rPr>
              <w:t>1万</w:t>
            </w:r>
            <w:r>
              <w:rPr>
                <w:rFonts w:hint="eastAsia" w:ascii="楷体" w:hAnsi="楷体" w:eastAsia="楷体" w:cs="宋体"/>
                <w:kern w:val="0"/>
                <w:sz w:val="22"/>
                <w:highlight w:val="none"/>
              </w:rPr>
              <w:t>元以上2</w:t>
            </w:r>
            <w:r>
              <w:rPr>
                <w:rFonts w:hint="eastAsia" w:ascii="楷体" w:hAnsi="楷体" w:eastAsia="楷体" w:cs="宋体"/>
                <w:kern w:val="0"/>
                <w:sz w:val="22"/>
                <w:highlight w:val="none"/>
                <w:lang w:eastAsia="zh-CN"/>
              </w:rPr>
              <w:t>万</w:t>
            </w:r>
            <w:r>
              <w:rPr>
                <w:rFonts w:hint="eastAsia" w:ascii="楷体" w:hAnsi="楷体" w:eastAsia="楷体" w:cs="宋体"/>
                <w:kern w:val="0"/>
                <w:sz w:val="22"/>
                <w:highlight w:val="none"/>
              </w:rPr>
              <w:t>元以下标准罚款</w:t>
            </w:r>
          </w:p>
        </w:tc>
        <w:tc>
          <w:tcPr>
            <w:tcW w:w="1953" w:type="dxa"/>
            <w:vMerge w:val="continue"/>
            <w:tcBorders>
              <w:left w:val="single" w:color="auto" w:sz="4" w:space="0"/>
              <w:bottom w:val="single" w:color="auto" w:sz="4" w:space="0"/>
              <w:right w:val="single" w:color="auto" w:sz="4" w:space="0"/>
            </w:tcBorders>
            <w:vAlign w:val="center"/>
          </w:tcPr>
          <w:p>
            <w:pPr>
              <w:widowControl/>
              <w:ind w:firstLine="400"/>
              <w:jc w:val="left"/>
              <w:rPr>
                <w:rFonts w:ascii="楷体_GB2312" w:hAnsi="宋体" w:eastAsia="楷体_GB2312" w:cs="宋体"/>
                <w:color w:val="000000"/>
                <w:spacing w:val="-10"/>
                <w:kern w:val="0"/>
                <w:sz w:val="22"/>
                <w:highlight w:val="none"/>
              </w:rPr>
            </w:pPr>
          </w:p>
        </w:tc>
      </w:tr>
      <w:tr>
        <w:tblPrEx>
          <w:tblCellMar>
            <w:top w:w="0" w:type="dxa"/>
            <w:left w:w="108" w:type="dxa"/>
            <w:bottom w:w="0" w:type="dxa"/>
            <w:right w:w="108" w:type="dxa"/>
          </w:tblCellMar>
        </w:tblPrEx>
        <w:trPr>
          <w:trHeight w:val="1093" w:hRule="atLeast"/>
        </w:trPr>
        <w:tc>
          <w:tcPr>
            <w:tcW w:w="488"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rPr>
                <w:rFonts w:hint="eastAsia" w:ascii="楷体" w:hAnsi="楷体" w:eastAsia="楷体" w:cs="宋体"/>
                <w:color w:val="auto"/>
                <w:kern w:val="0"/>
                <w:sz w:val="22"/>
                <w:highlight w:val="none"/>
                <w:lang w:val="en-US" w:eastAsia="zh-CN"/>
              </w:rPr>
            </w:pPr>
            <w:r>
              <w:rPr>
                <w:rFonts w:hint="eastAsia" w:ascii="楷体" w:hAnsi="楷体" w:eastAsia="楷体" w:cs="宋体"/>
                <w:color w:val="auto"/>
                <w:kern w:val="0"/>
                <w:sz w:val="22"/>
                <w:highlight w:val="none"/>
                <w:lang w:val="en-US" w:eastAsia="zh-CN"/>
              </w:rPr>
              <w:t>8</w:t>
            </w:r>
          </w:p>
        </w:tc>
        <w:tc>
          <w:tcPr>
            <w:tcW w:w="4337" w:type="dxa"/>
            <w:vMerge w:val="restart"/>
            <w:tcBorders>
              <w:top w:val="single" w:color="000000" w:sz="4" w:space="0"/>
              <w:left w:val="single" w:color="auto" w:sz="4" w:space="0"/>
              <w:bottom w:val="single" w:color="000000" w:sz="4" w:space="0"/>
              <w:right w:val="single" w:color="auto" w:sz="4" w:space="0"/>
            </w:tcBorders>
            <w:vAlign w:val="center"/>
          </w:tcPr>
          <w:p>
            <w:pPr>
              <w:widowControl/>
              <w:jc w:val="left"/>
              <w:rPr>
                <w:rFonts w:hint="eastAsia" w:ascii="楷体" w:hAnsi="楷体" w:eastAsia="楷体" w:cs="宋体"/>
                <w:color w:val="auto"/>
                <w:kern w:val="0"/>
                <w:sz w:val="22"/>
                <w:highlight w:val="none"/>
                <w:lang w:val="en-US" w:eastAsia="zh-CN"/>
              </w:rPr>
            </w:pPr>
            <w:r>
              <w:rPr>
                <w:rFonts w:hint="eastAsia" w:ascii="楷体" w:hAnsi="楷体" w:eastAsia="楷体" w:cs="宋体"/>
                <w:color w:val="auto"/>
                <w:kern w:val="0"/>
                <w:sz w:val="22"/>
                <w:lang w:eastAsia="zh-CN"/>
              </w:rPr>
              <w:t>隐瞒事实真相、出具伪证或者以其他不正当手段参加生育保险的</w:t>
            </w:r>
          </w:p>
        </w:tc>
        <w:tc>
          <w:tcPr>
            <w:tcW w:w="2385" w:type="dxa"/>
            <w:vMerge w:val="restart"/>
            <w:tcBorders>
              <w:top w:val="single" w:color="000000" w:sz="4" w:space="0"/>
              <w:left w:val="single" w:color="auto" w:sz="4" w:space="0"/>
              <w:bottom w:val="single" w:color="000000" w:sz="4" w:space="0"/>
              <w:right w:val="single" w:color="auto" w:sz="4" w:space="0"/>
            </w:tcBorders>
            <w:vAlign w:val="center"/>
          </w:tcPr>
          <w:p>
            <w:pPr>
              <w:widowControl/>
              <w:jc w:val="left"/>
              <w:rPr>
                <w:rFonts w:ascii="楷体" w:hAnsi="楷体" w:eastAsia="楷体" w:cs="宋体"/>
                <w:color w:val="auto"/>
                <w:kern w:val="0"/>
                <w:sz w:val="22"/>
                <w:highlight w:val="none"/>
              </w:rPr>
            </w:pPr>
            <w:r>
              <w:rPr>
                <w:rFonts w:hint="eastAsia" w:ascii="楷体" w:hAnsi="楷体" w:eastAsia="楷体" w:cs="宋体"/>
                <w:color w:val="auto"/>
                <w:kern w:val="0"/>
                <w:sz w:val="22"/>
                <w:lang w:eastAsia="zh-CN"/>
              </w:rPr>
              <w:t>《</w:t>
            </w:r>
            <w:r>
              <w:rPr>
                <w:rFonts w:hint="eastAsia" w:ascii="楷体" w:hAnsi="楷体" w:eastAsia="楷体" w:cs="宋体"/>
                <w:color w:val="auto"/>
                <w:kern w:val="0"/>
                <w:sz w:val="22"/>
              </w:rPr>
              <w:t>广东省职工生育保险规定</w:t>
            </w:r>
            <w:r>
              <w:rPr>
                <w:rFonts w:hint="eastAsia" w:ascii="楷体" w:hAnsi="楷体" w:eastAsia="楷体" w:cs="宋体"/>
                <w:color w:val="auto"/>
                <w:kern w:val="0"/>
                <w:sz w:val="22"/>
                <w:lang w:eastAsia="zh-CN"/>
              </w:rPr>
              <w:t>》第四十一条</w:t>
            </w:r>
          </w:p>
        </w:tc>
        <w:tc>
          <w:tcPr>
            <w:tcW w:w="3840" w:type="dxa"/>
            <w:vMerge w:val="restart"/>
            <w:tcBorders>
              <w:top w:val="single" w:color="000000" w:sz="4" w:space="0"/>
              <w:left w:val="single" w:color="auto" w:sz="4" w:space="0"/>
              <w:bottom w:val="single" w:color="000000" w:sz="4" w:space="0"/>
              <w:right w:val="single" w:color="auto" w:sz="4" w:space="0"/>
            </w:tcBorders>
            <w:vAlign w:val="center"/>
          </w:tcPr>
          <w:p>
            <w:pPr>
              <w:widowControl/>
              <w:jc w:val="left"/>
              <w:rPr>
                <w:rFonts w:ascii="楷体" w:hAnsi="楷体" w:eastAsia="楷体" w:cs="宋体"/>
                <w:color w:val="auto"/>
                <w:kern w:val="0"/>
                <w:sz w:val="22"/>
                <w:highlight w:val="none"/>
              </w:rPr>
            </w:pPr>
            <w:r>
              <w:rPr>
                <w:rFonts w:hint="eastAsia" w:ascii="楷体" w:hAnsi="楷体" w:eastAsia="楷体" w:cs="宋体"/>
                <w:color w:val="auto"/>
                <w:kern w:val="0"/>
                <w:sz w:val="22"/>
                <w:highlight w:val="none"/>
              </w:rPr>
              <w:t>责令改正，并处2000元以上2万元以下的罚款</w:t>
            </w:r>
          </w:p>
        </w:tc>
        <w:tc>
          <w:tcPr>
            <w:tcW w:w="4230" w:type="dxa"/>
            <w:tcBorders>
              <w:top w:val="nil"/>
              <w:left w:val="nil"/>
              <w:bottom w:val="single" w:color="auto" w:sz="4" w:space="0"/>
              <w:right w:val="single" w:color="auto" w:sz="4" w:space="0"/>
            </w:tcBorders>
            <w:vAlign w:val="center"/>
          </w:tcPr>
          <w:p>
            <w:pPr>
              <w:widowControl/>
              <w:jc w:val="both"/>
              <w:rPr>
                <w:rFonts w:hint="default" w:ascii="楷体" w:hAnsi="楷体" w:eastAsia="楷体" w:cs="宋体"/>
                <w:color w:val="auto"/>
                <w:kern w:val="0"/>
                <w:sz w:val="22"/>
                <w:szCs w:val="22"/>
                <w:highlight w:val="none"/>
                <w:lang w:val="en-US" w:eastAsia="zh-CN" w:bidi="ar-SA"/>
              </w:rPr>
            </w:pPr>
            <w:r>
              <w:rPr>
                <w:rFonts w:hint="eastAsia" w:ascii="楷体" w:hAnsi="楷体" w:eastAsia="楷体" w:cs="宋体"/>
                <w:color w:val="auto"/>
                <w:kern w:val="0"/>
                <w:sz w:val="22"/>
                <w:szCs w:val="22"/>
                <w:highlight w:val="none"/>
                <w:lang w:val="en-US" w:eastAsia="zh-CN" w:bidi="ar-SA"/>
              </w:rPr>
              <w:t>涉及劳动者人数3人以下的</w:t>
            </w:r>
          </w:p>
        </w:tc>
        <w:tc>
          <w:tcPr>
            <w:tcW w:w="3855" w:type="dxa"/>
            <w:tcBorders>
              <w:top w:val="nil"/>
              <w:left w:val="nil"/>
              <w:bottom w:val="single" w:color="auto" w:sz="4" w:space="0"/>
              <w:right w:val="nil"/>
            </w:tcBorders>
            <w:vAlign w:val="center"/>
          </w:tcPr>
          <w:p>
            <w:pPr>
              <w:widowControl/>
              <w:jc w:val="both"/>
              <w:rPr>
                <w:rFonts w:hint="default" w:ascii="楷体" w:hAnsi="楷体" w:eastAsia="楷体" w:cs="宋体"/>
                <w:color w:val="auto"/>
                <w:kern w:val="0"/>
                <w:sz w:val="22"/>
                <w:highlight w:val="none"/>
                <w:lang w:val="en-US" w:eastAsia="zh-CN"/>
              </w:rPr>
            </w:pPr>
            <w:r>
              <w:rPr>
                <w:rFonts w:hint="eastAsia" w:ascii="楷体" w:hAnsi="楷体" w:eastAsia="楷体" w:cs="宋体"/>
                <w:color w:val="auto"/>
                <w:kern w:val="0"/>
                <w:sz w:val="22"/>
                <w:highlight w:val="none"/>
              </w:rPr>
              <w:t>按照</w:t>
            </w:r>
            <w:r>
              <w:rPr>
                <w:rFonts w:hint="eastAsia" w:ascii="楷体" w:hAnsi="楷体" w:eastAsia="楷体" w:cs="宋体"/>
                <w:color w:val="auto"/>
                <w:kern w:val="0"/>
                <w:sz w:val="22"/>
                <w:highlight w:val="none"/>
                <w:lang w:val="en-US" w:eastAsia="zh-CN"/>
              </w:rPr>
              <w:t>2千</w:t>
            </w:r>
            <w:r>
              <w:rPr>
                <w:rFonts w:hint="eastAsia" w:ascii="楷体" w:hAnsi="楷体" w:eastAsia="楷体" w:cs="宋体"/>
                <w:color w:val="auto"/>
                <w:kern w:val="0"/>
                <w:sz w:val="22"/>
                <w:highlight w:val="none"/>
              </w:rPr>
              <w:t>元以上</w:t>
            </w:r>
            <w:r>
              <w:rPr>
                <w:rFonts w:hint="eastAsia" w:ascii="楷体" w:hAnsi="楷体" w:eastAsia="楷体" w:cs="宋体"/>
                <w:color w:val="auto"/>
                <w:kern w:val="0"/>
                <w:sz w:val="22"/>
                <w:highlight w:val="none"/>
                <w:lang w:val="en-US" w:eastAsia="zh-CN"/>
              </w:rPr>
              <w:t>5千</w:t>
            </w:r>
            <w:r>
              <w:rPr>
                <w:rFonts w:hint="eastAsia" w:ascii="楷体" w:hAnsi="楷体" w:eastAsia="楷体" w:cs="宋体"/>
                <w:color w:val="auto"/>
                <w:kern w:val="0"/>
                <w:sz w:val="22"/>
                <w:highlight w:val="none"/>
              </w:rPr>
              <w:t>元</w:t>
            </w:r>
            <w:r>
              <w:rPr>
                <w:rFonts w:hint="eastAsia" w:ascii="楷体" w:hAnsi="楷体" w:eastAsia="楷体" w:cs="宋体"/>
                <w:color w:val="auto"/>
                <w:kern w:val="0"/>
                <w:sz w:val="22"/>
                <w:highlight w:val="none"/>
                <w:lang w:eastAsia="zh-CN"/>
              </w:rPr>
              <w:t>以下</w:t>
            </w:r>
            <w:r>
              <w:rPr>
                <w:rFonts w:hint="eastAsia" w:ascii="楷体" w:hAnsi="楷体" w:eastAsia="楷体" w:cs="宋体"/>
                <w:color w:val="auto"/>
                <w:kern w:val="0"/>
                <w:sz w:val="22"/>
                <w:highlight w:val="none"/>
              </w:rPr>
              <w:t>标准罚款</w:t>
            </w:r>
          </w:p>
        </w:tc>
        <w:tc>
          <w:tcPr>
            <w:tcW w:w="1953" w:type="dxa"/>
            <w:vMerge w:val="restart"/>
            <w:tcBorders>
              <w:left w:val="single" w:color="auto" w:sz="4" w:space="0"/>
              <w:right w:val="single" w:color="auto" w:sz="4" w:space="0"/>
            </w:tcBorders>
            <w:vAlign w:val="center"/>
          </w:tcPr>
          <w:p>
            <w:pPr>
              <w:widowControl/>
              <w:jc w:val="left"/>
              <w:rPr>
                <w:rFonts w:hint="eastAsia" w:ascii="楷体" w:hAnsi="楷体" w:eastAsia="楷体" w:cs="宋体"/>
                <w:kern w:val="0"/>
                <w:sz w:val="22"/>
                <w:highlight w:val="none"/>
                <w:lang w:eastAsia="zh-CN"/>
              </w:rPr>
            </w:pPr>
            <w:r>
              <w:rPr>
                <w:rFonts w:hint="eastAsia" w:ascii="楷体" w:hAnsi="楷体" w:eastAsia="楷体" w:cs="宋体"/>
                <w:kern w:val="0"/>
                <w:sz w:val="22"/>
                <w:highlight w:val="none"/>
                <w:lang w:eastAsia="zh-CN"/>
              </w:rPr>
              <w:t>主动改正</w:t>
            </w:r>
            <w:r>
              <w:rPr>
                <w:rFonts w:hint="eastAsia" w:ascii="楷体" w:hAnsi="楷体" w:eastAsia="楷体" w:cs="宋体"/>
                <w:kern w:val="0"/>
                <w:sz w:val="22"/>
                <w:highlight w:val="none"/>
              </w:rPr>
              <w:t>，未造成</w:t>
            </w:r>
            <w:r>
              <w:rPr>
                <w:rFonts w:hint="eastAsia" w:ascii="楷体" w:hAnsi="楷体" w:eastAsia="楷体" w:cs="宋体"/>
                <w:kern w:val="0"/>
                <w:sz w:val="22"/>
                <w:highlight w:val="none"/>
                <w:lang w:eastAsia="zh-CN"/>
              </w:rPr>
              <w:t>基金损失</w:t>
            </w:r>
            <w:r>
              <w:rPr>
                <w:rFonts w:hint="eastAsia" w:ascii="楷体" w:hAnsi="楷体" w:eastAsia="楷体" w:cs="宋体"/>
                <w:kern w:val="0"/>
                <w:sz w:val="22"/>
                <w:highlight w:val="none"/>
              </w:rPr>
              <w:t>的，</w:t>
            </w:r>
            <w:r>
              <w:rPr>
                <w:rFonts w:hint="eastAsia" w:ascii="楷体" w:hAnsi="楷体" w:eastAsia="楷体" w:cs="宋体"/>
                <w:kern w:val="0"/>
                <w:sz w:val="22"/>
                <w:highlight w:val="none"/>
                <w:lang w:eastAsia="zh-CN"/>
              </w:rPr>
              <w:t>且</w:t>
            </w:r>
            <w:r>
              <w:rPr>
                <w:rFonts w:hint="eastAsia" w:ascii="楷体" w:hAnsi="楷体" w:eastAsia="楷体" w:cs="宋体"/>
                <w:kern w:val="0"/>
                <w:sz w:val="22"/>
                <w:highlight w:val="none"/>
              </w:rPr>
              <w:t>不具有从重情节，可视作违法行为轻微并及时纠正，没有造成危害后果</w:t>
            </w:r>
            <w:r>
              <w:rPr>
                <w:rFonts w:hint="eastAsia" w:ascii="楷体" w:hAnsi="楷体" w:eastAsia="楷体" w:cs="宋体"/>
                <w:kern w:val="0"/>
                <w:sz w:val="22"/>
                <w:highlight w:val="none"/>
                <w:lang w:eastAsia="zh-CN"/>
              </w:rPr>
              <w:t>，不予处罚。</w:t>
            </w:r>
          </w:p>
          <w:p>
            <w:pPr>
              <w:pStyle w:val="2"/>
            </w:pPr>
          </w:p>
        </w:tc>
      </w:tr>
      <w:tr>
        <w:tblPrEx>
          <w:tblCellMar>
            <w:top w:w="0" w:type="dxa"/>
            <w:left w:w="108" w:type="dxa"/>
            <w:bottom w:w="0" w:type="dxa"/>
            <w:right w:w="108" w:type="dxa"/>
          </w:tblCellMar>
        </w:tblPrEx>
        <w:trPr>
          <w:trHeight w:val="1000" w:hRule="atLeast"/>
        </w:trPr>
        <w:tc>
          <w:tcPr>
            <w:tcW w:w="488" w:type="dxa"/>
            <w:vMerge w:val="continue"/>
            <w:tcBorders>
              <w:top w:val="single" w:color="000000" w:sz="4" w:space="0"/>
              <w:left w:val="single" w:color="auto" w:sz="4" w:space="0"/>
              <w:bottom w:val="single" w:color="000000" w:sz="4" w:space="0"/>
              <w:right w:val="single" w:color="auto" w:sz="4" w:space="0"/>
            </w:tcBorders>
            <w:vAlign w:val="center"/>
          </w:tcPr>
          <w:p>
            <w:pPr>
              <w:widowControl/>
              <w:jc w:val="center"/>
              <w:rPr>
                <w:rFonts w:ascii="楷体" w:hAnsi="楷体" w:eastAsia="楷体" w:cs="宋体"/>
                <w:color w:val="auto"/>
                <w:kern w:val="0"/>
                <w:sz w:val="22"/>
                <w:highlight w:val="none"/>
              </w:rPr>
            </w:pPr>
          </w:p>
        </w:tc>
        <w:tc>
          <w:tcPr>
            <w:tcW w:w="4337"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hint="eastAsia" w:ascii="楷体" w:hAnsi="楷体" w:eastAsia="楷体" w:cs="宋体"/>
                <w:color w:val="auto"/>
                <w:kern w:val="0"/>
                <w:sz w:val="22"/>
                <w:lang w:eastAsia="zh-CN"/>
              </w:rPr>
            </w:pPr>
          </w:p>
        </w:tc>
        <w:tc>
          <w:tcPr>
            <w:tcW w:w="2385"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hint="eastAsia" w:ascii="楷体" w:hAnsi="楷体" w:eastAsia="楷体" w:cs="宋体"/>
                <w:color w:val="auto"/>
                <w:kern w:val="0"/>
                <w:sz w:val="22"/>
                <w:lang w:eastAsia="zh-CN"/>
              </w:rPr>
            </w:pPr>
          </w:p>
        </w:tc>
        <w:tc>
          <w:tcPr>
            <w:tcW w:w="3840"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hint="eastAsia" w:ascii="楷体" w:hAnsi="楷体" w:eastAsia="楷体" w:cs="宋体"/>
                <w:color w:val="auto"/>
                <w:kern w:val="0"/>
                <w:sz w:val="22"/>
                <w:highlight w:val="none"/>
              </w:rPr>
            </w:pPr>
          </w:p>
        </w:tc>
        <w:tc>
          <w:tcPr>
            <w:tcW w:w="4230" w:type="dxa"/>
            <w:tcBorders>
              <w:top w:val="nil"/>
              <w:left w:val="nil"/>
              <w:bottom w:val="single" w:color="auto" w:sz="4" w:space="0"/>
              <w:right w:val="single" w:color="auto" w:sz="4" w:space="0"/>
            </w:tcBorders>
            <w:vAlign w:val="center"/>
          </w:tcPr>
          <w:p>
            <w:pPr>
              <w:widowControl/>
              <w:jc w:val="both"/>
              <w:rPr>
                <w:rFonts w:hint="eastAsia" w:ascii="楷体" w:hAnsi="楷体" w:eastAsia="楷体" w:cs="宋体"/>
                <w:color w:val="auto"/>
                <w:kern w:val="0"/>
                <w:sz w:val="22"/>
                <w:szCs w:val="22"/>
                <w:highlight w:val="none"/>
                <w:lang w:val="en-US" w:eastAsia="zh-CN" w:bidi="ar-SA"/>
              </w:rPr>
            </w:pPr>
            <w:r>
              <w:rPr>
                <w:rFonts w:hint="eastAsia" w:ascii="楷体" w:hAnsi="楷体" w:eastAsia="楷体" w:cs="宋体"/>
                <w:color w:val="auto"/>
                <w:kern w:val="0"/>
                <w:sz w:val="22"/>
                <w:szCs w:val="22"/>
                <w:highlight w:val="none"/>
                <w:lang w:val="en-US" w:eastAsia="zh-CN" w:bidi="ar-SA"/>
              </w:rPr>
              <w:t>涉及劳动者人数3人以上5人以下的</w:t>
            </w:r>
          </w:p>
        </w:tc>
        <w:tc>
          <w:tcPr>
            <w:tcW w:w="3855" w:type="dxa"/>
            <w:tcBorders>
              <w:top w:val="nil"/>
              <w:left w:val="nil"/>
              <w:bottom w:val="single" w:color="auto" w:sz="4" w:space="0"/>
              <w:right w:val="nil"/>
            </w:tcBorders>
            <w:vAlign w:val="center"/>
          </w:tcPr>
          <w:p>
            <w:pPr>
              <w:widowControl/>
              <w:jc w:val="both"/>
              <w:rPr>
                <w:rFonts w:hint="eastAsia" w:ascii="楷体" w:hAnsi="楷体" w:eastAsia="楷体" w:cs="宋体"/>
                <w:color w:val="auto"/>
                <w:kern w:val="0"/>
                <w:sz w:val="22"/>
                <w:highlight w:val="none"/>
              </w:rPr>
            </w:pPr>
            <w:r>
              <w:rPr>
                <w:rFonts w:hint="eastAsia" w:ascii="楷体" w:hAnsi="楷体" w:eastAsia="楷体" w:cs="宋体"/>
                <w:color w:val="auto"/>
                <w:kern w:val="0"/>
                <w:sz w:val="22"/>
                <w:highlight w:val="none"/>
              </w:rPr>
              <w:t>按照</w:t>
            </w:r>
            <w:r>
              <w:rPr>
                <w:rFonts w:hint="eastAsia" w:ascii="楷体" w:hAnsi="楷体" w:eastAsia="楷体" w:cs="宋体"/>
                <w:color w:val="auto"/>
                <w:kern w:val="0"/>
                <w:sz w:val="22"/>
                <w:highlight w:val="none"/>
                <w:lang w:val="en-US" w:eastAsia="zh-CN"/>
              </w:rPr>
              <w:t>5千</w:t>
            </w:r>
            <w:r>
              <w:rPr>
                <w:rFonts w:hint="eastAsia" w:ascii="楷体" w:hAnsi="楷体" w:eastAsia="楷体" w:cs="宋体"/>
                <w:color w:val="auto"/>
                <w:kern w:val="0"/>
                <w:sz w:val="22"/>
                <w:highlight w:val="none"/>
              </w:rPr>
              <w:t>元以上</w:t>
            </w:r>
            <w:r>
              <w:rPr>
                <w:rFonts w:hint="eastAsia" w:ascii="楷体" w:hAnsi="楷体" w:eastAsia="楷体" w:cs="宋体"/>
                <w:color w:val="auto"/>
                <w:kern w:val="0"/>
                <w:sz w:val="22"/>
                <w:highlight w:val="none"/>
                <w:lang w:val="en-US" w:eastAsia="zh-CN"/>
              </w:rPr>
              <w:t>1万</w:t>
            </w:r>
            <w:r>
              <w:rPr>
                <w:rFonts w:hint="eastAsia" w:ascii="楷体" w:hAnsi="楷体" w:eastAsia="楷体" w:cs="宋体"/>
                <w:color w:val="auto"/>
                <w:kern w:val="0"/>
                <w:sz w:val="22"/>
                <w:highlight w:val="none"/>
              </w:rPr>
              <w:t>元</w:t>
            </w:r>
            <w:r>
              <w:rPr>
                <w:rFonts w:hint="eastAsia" w:ascii="楷体" w:hAnsi="楷体" w:eastAsia="楷体" w:cs="宋体"/>
                <w:color w:val="auto"/>
                <w:kern w:val="0"/>
                <w:sz w:val="22"/>
                <w:highlight w:val="none"/>
                <w:lang w:eastAsia="zh-CN"/>
              </w:rPr>
              <w:t>以下标准</w:t>
            </w:r>
            <w:r>
              <w:rPr>
                <w:rFonts w:hint="eastAsia" w:ascii="楷体" w:hAnsi="楷体" w:eastAsia="楷体" w:cs="宋体"/>
                <w:color w:val="auto"/>
                <w:kern w:val="0"/>
                <w:sz w:val="22"/>
                <w:highlight w:val="none"/>
              </w:rPr>
              <w:t>罚款</w:t>
            </w:r>
          </w:p>
        </w:tc>
        <w:tc>
          <w:tcPr>
            <w:tcW w:w="1953" w:type="dxa"/>
            <w:vMerge w:val="continue"/>
            <w:tcBorders>
              <w:left w:val="single" w:color="auto" w:sz="4" w:space="0"/>
              <w:right w:val="single" w:color="auto" w:sz="4" w:space="0"/>
            </w:tcBorders>
            <w:vAlign w:val="center"/>
          </w:tcPr>
          <w:p>
            <w:pPr>
              <w:widowControl/>
              <w:ind w:firstLine="400"/>
              <w:jc w:val="left"/>
              <w:rPr>
                <w:rFonts w:ascii="楷体_GB2312" w:hAnsi="宋体" w:eastAsia="楷体_GB2312" w:cs="宋体"/>
                <w:color w:val="000000"/>
                <w:spacing w:val="-10"/>
                <w:kern w:val="0"/>
                <w:sz w:val="22"/>
                <w:highlight w:val="none"/>
              </w:rPr>
            </w:pPr>
          </w:p>
        </w:tc>
      </w:tr>
      <w:tr>
        <w:tblPrEx>
          <w:tblCellMar>
            <w:top w:w="0" w:type="dxa"/>
            <w:left w:w="108" w:type="dxa"/>
            <w:bottom w:w="0" w:type="dxa"/>
            <w:right w:w="108" w:type="dxa"/>
          </w:tblCellMar>
        </w:tblPrEx>
        <w:trPr>
          <w:trHeight w:val="1022" w:hRule="atLeast"/>
        </w:trPr>
        <w:tc>
          <w:tcPr>
            <w:tcW w:w="488" w:type="dxa"/>
            <w:vMerge w:val="continue"/>
            <w:tcBorders>
              <w:top w:val="single" w:color="000000" w:sz="4" w:space="0"/>
              <w:left w:val="single" w:color="auto" w:sz="4" w:space="0"/>
              <w:bottom w:val="single" w:color="000000" w:sz="4" w:space="0"/>
              <w:right w:val="single" w:color="auto" w:sz="4" w:space="0"/>
            </w:tcBorders>
            <w:vAlign w:val="center"/>
          </w:tcPr>
          <w:p>
            <w:pPr>
              <w:widowControl/>
              <w:jc w:val="center"/>
              <w:rPr>
                <w:rFonts w:ascii="楷体" w:hAnsi="楷体" w:eastAsia="楷体" w:cs="宋体"/>
                <w:color w:val="auto"/>
                <w:kern w:val="0"/>
                <w:sz w:val="22"/>
                <w:highlight w:val="none"/>
              </w:rPr>
            </w:pPr>
          </w:p>
        </w:tc>
        <w:tc>
          <w:tcPr>
            <w:tcW w:w="4337"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hint="eastAsia" w:ascii="楷体" w:hAnsi="楷体" w:eastAsia="楷体" w:cs="宋体"/>
                <w:color w:val="auto"/>
                <w:kern w:val="0"/>
                <w:sz w:val="22"/>
                <w:lang w:eastAsia="zh-CN"/>
              </w:rPr>
            </w:pPr>
          </w:p>
        </w:tc>
        <w:tc>
          <w:tcPr>
            <w:tcW w:w="2385"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hint="eastAsia" w:ascii="楷体" w:hAnsi="楷体" w:eastAsia="楷体" w:cs="宋体"/>
                <w:color w:val="auto"/>
                <w:kern w:val="0"/>
                <w:sz w:val="22"/>
                <w:lang w:eastAsia="zh-CN"/>
              </w:rPr>
            </w:pPr>
          </w:p>
        </w:tc>
        <w:tc>
          <w:tcPr>
            <w:tcW w:w="3840"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hint="eastAsia" w:ascii="楷体" w:hAnsi="楷体" w:eastAsia="楷体" w:cs="宋体"/>
                <w:color w:val="auto"/>
                <w:kern w:val="0"/>
                <w:sz w:val="22"/>
                <w:highlight w:val="none"/>
              </w:rPr>
            </w:pPr>
          </w:p>
        </w:tc>
        <w:tc>
          <w:tcPr>
            <w:tcW w:w="4230" w:type="dxa"/>
            <w:tcBorders>
              <w:top w:val="nil"/>
              <w:left w:val="nil"/>
              <w:bottom w:val="single" w:color="auto" w:sz="4" w:space="0"/>
              <w:right w:val="single" w:color="auto" w:sz="4" w:space="0"/>
            </w:tcBorders>
            <w:vAlign w:val="center"/>
          </w:tcPr>
          <w:p>
            <w:pPr>
              <w:pStyle w:val="2"/>
              <w:jc w:val="both"/>
              <w:rPr>
                <w:rFonts w:hint="eastAsia" w:ascii="楷体" w:hAnsi="楷体" w:eastAsia="楷体" w:cs="宋体"/>
                <w:color w:val="auto"/>
                <w:kern w:val="0"/>
                <w:sz w:val="22"/>
                <w:szCs w:val="22"/>
                <w:highlight w:val="none"/>
                <w:lang w:val="en-US" w:eastAsia="zh-CN" w:bidi="ar-SA"/>
              </w:rPr>
            </w:pPr>
            <w:r>
              <w:rPr>
                <w:rFonts w:hint="eastAsia" w:ascii="楷体" w:hAnsi="楷体" w:eastAsia="楷体" w:cs="宋体"/>
                <w:kern w:val="0"/>
                <w:sz w:val="22"/>
                <w:lang w:val="en-US" w:eastAsia="zh-CN"/>
              </w:rPr>
              <w:t>涉及劳动者人数5人以上的</w:t>
            </w:r>
          </w:p>
        </w:tc>
        <w:tc>
          <w:tcPr>
            <w:tcW w:w="3855" w:type="dxa"/>
            <w:tcBorders>
              <w:top w:val="nil"/>
              <w:left w:val="nil"/>
              <w:bottom w:val="single" w:color="auto" w:sz="4" w:space="0"/>
              <w:right w:val="nil"/>
            </w:tcBorders>
            <w:vAlign w:val="center"/>
          </w:tcPr>
          <w:p>
            <w:pPr>
              <w:widowControl/>
              <w:jc w:val="both"/>
              <w:rPr>
                <w:rFonts w:hint="eastAsia" w:ascii="楷体" w:hAnsi="楷体" w:eastAsia="楷体" w:cs="宋体"/>
                <w:color w:val="auto"/>
                <w:kern w:val="0"/>
                <w:sz w:val="22"/>
                <w:highlight w:val="none"/>
              </w:rPr>
            </w:pPr>
            <w:r>
              <w:rPr>
                <w:rFonts w:hint="eastAsia" w:ascii="楷体" w:hAnsi="楷体" w:eastAsia="楷体" w:cs="宋体"/>
                <w:color w:val="auto"/>
                <w:kern w:val="0"/>
                <w:sz w:val="22"/>
                <w:highlight w:val="none"/>
              </w:rPr>
              <w:t>按照</w:t>
            </w:r>
            <w:r>
              <w:rPr>
                <w:rFonts w:hint="eastAsia" w:ascii="楷体" w:hAnsi="楷体" w:eastAsia="楷体" w:cs="宋体"/>
                <w:color w:val="auto"/>
                <w:kern w:val="0"/>
                <w:sz w:val="22"/>
                <w:highlight w:val="none"/>
                <w:lang w:val="en-US" w:eastAsia="zh-CN"/>
              </w:rPr>
              <w:t>1万</w:t>
            </w:r>
            <w:r>
              <w:rPr>
                <w:rFonts w:hint="eastAsia" w:ascii="楷体" w:hAnsi="楷体" w:eastAsia="楷体" w:cs="宋体"/>
                <w:color w:val="auto"/>
                <w:kern w:val="0"/>
                <w:sz w:val="22"/>
                <w:highlight w:val="none"/>
              </w:rPr>
              <w:t>元以上2</w:t>
            </w:r>
            <w:r>
              <w:rPr>
                <w:rFonts w:hint="eastAsia" w:ascii="楷体" w:hAnsi="楷体" w:eastAsia="楷体" w:cs="宋体"/>
                <w:color w:val="auto"/>
                <w:kern w:val="0"/>
                <w:sz w:val="22"/>
                <w:highlight w:val="none"/>
                <w:lang w:eastAsia="zh-CN"/>
              </w:rPr>
              <w:t>万</w:t>
            </w:r>
            <w:r>
              <w:rPr>
                <w:rFonts w:hint="eastAsia" w:ascii="楷体" w:hAnsi="楷体" w:eastAsia="楷体" w:cs="宋体"/>
                <w:color w:val="auto"/>
                <w:kern w:val="0"/>
                <w:sz w:val="22"/>
                <w:highlight w:val="none"/>
              </w:rPr>
              <w:t>元以下标准罚款</w:t>
            </w:r>
          </w:p>
        </w:tc>
        <w:tc>
          <w:tcPr>
            <w:tcW w:w="1953" w:type="dxa"/>
            <w:vMerge w:val="continue"/>
            <w:tcBorders>
              <w:left w:val="single" w:color="auto" w:sz="4" w:space="0"/>
              <w:bottom w:val="single" w:color="auto" w:sz="4" w:space="0"/>
              <w:right w:val="single" w:color="auto" w:sz="4" w:space="0"/>
            </w:tcBorders>
            <w:vAlign w:val="center"/>
          </w:tcPr>
          <w:p>
            <w:pPr>
              <w:widowControl/>
              <w:ind w:firstLine="400"/>
              <w:jc w:val="left"/>
              <w:rPr>
                <w:rFonts w:ascii="楷体_GB2312" w:hAnsi="宋体" w:eastAsia="楷体_GB2312" w:cs="宋体"/>
                <w:color w:val="000000"/>
                <w:spacing w:val="-10"/>
                <w:kern w:val="0"/>
                <w:sz w:val="22"/>
                <w:highlight w:val="none"/>
              </w:rPr>
            </w:pPr>
          </w:p>
        </w:tc>
      </w:tr>
      <w:tr>
        <w:tblPrEx>
          <w:tblCellMar>
            <w:top w:w="0" w:type="dxa"/>
            <w:left w:w="108" w:type="dxa"/>
            <w:bottom w:w="0" w:type="dxa"/>
            <w:right w:w="108" w:type="dxa"/>
          </w:tblCellMar>
        </w:tblPrEx>
        <w:trPr>
          <w:trHeight w:val="986" w:hRule="atLeast"/>
        </w:trPr>
        <w:tc>
          <w:tcPr>
            <w:tcW w:w="488"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rPr>
                <w:rFonts w:hint="default" w:ascii="楷体" w:hAnsi="楷体" w:eastAsia="楷体" w:cs="宋体"/>
                <w:kern w:val="0"/>
                <w:sz w:val="22"/>
                <w:highlight w:val="none"/>
                <w:lang w:val="en-US" w:eastAsia="zh-CN"/>
              </w:rPr>
            </w:pPr>
            <w:r>
              <w:rPr>
                <w:rFonts w:hint="eastAsia" w:ascii="楷体" w:hAnsi="楷体" w:eastAsia="楷体" w:cs="宋体"/>
                <w:kern w:val="0"/>
                <w:sz w:val="22"/>
                <w:highlight w:val="none"/>
                <w:lang w:val="en-US" w:eastAsia="zh-CN"/>
              </w:rPr>
              <w:t>9</w:t>
            </w:r>
          </w:p>
        </w:tc>
        <w:tc>
          <w:tcPr>
            <w:tcW w:w="4337"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left"/>
              <w:rPr>
                <w:rFonts w:hint="eastAsia" w:ascii="楷体" w:hAnsi="楷体" w:eastAsia="楷体" w:cs="宋体"/>
                <w:kern w:val="0"/>
                <w:sz w:val="22"/>
                <w:lang w:eastAsia="zh-CN"/>
              </w:rPr>
            </w:pPr>
            <w:r>
              <w:rPr>
                <w:rFonts w:hint="eastAsia" w:ascii="楷体" w:hAnsi="楷体" w:eastAsia="楷体" w:cs="宋体"/>
                <w:kern w:val="0"/>
                <w:sz w:val="22"/>
              </w:rPr>
              <w:t>以欺诈、伪造证明材料或者其他手段骗取生育保险基金支出或者骗取生育保险待遇的</w:t>
            </w:r>
          </w:p>
        </w:tc>
        <w:tc>
          <w:tcPr>
            <w:tcW w:w="2385"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left"/>
              <w:rPr>
                <w:rFonts w:hint="eastAsia" w:ascii="楷体" w:hAnsi="楷体" w:eastAsia="楷体" w:cs="宋体"/>
                <w:kern w:val="0"/>
                <w:sz w:val="22"/>
                <w:lang w:eastAsia="zh-CN"/>
              </w:rPr>
            </w:pPr>
            <w:r>
              <w:rPr>
                <w:rFonts w:hint="eastAsia" w:ascii="楷体" w:hAnsi="楷体" w:eastAsia="楷体" w:cs="宋体"/>
                <w:kern w:val="0"/>
                <w:sz w:val="22"/>
                <w:lang w:eastAsia="zh-CN"/>
              </w:rPr>
              <w:t>《</w:t>
            </w:r>
            <w:r>
              <w:rPr>
                <w:rFonts w:hint="eastAsia" w:ascii="楷体" w:hAnsi="楷体" w:eastAsia="楷体" w:cs="宋体"/>
                <w:kern w:val="0"/>
                <w:sz w:val="22"/>
              </w:rPr>
              <w:t>广东省职工生育保险规定</w:t>
            </w:r>
            <w:r>
              <w:rPr>
                <w:rFonts w:hint="eastAsia" w:ascii="楷体" w:hAnsi="楷体" w:eastAsia="楷体" w:cs="宋体"/>
                <w:kern w:val="0"/>
                <w:sz w:val="22"/>
                <w:lang w:eastAsia="zh-CN"/>
              </w:rPr>
              <w:t>》第四十二条</w:t>
            </w:r>
          </w:p>
        </w:tc>
        <w:tc>
          <w:tcPr>
            <w:tcW w:w="3840"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64" w:lineRule="auto"/>
              <w:rPr>
                <w:rFonts w:ascii="楷体" w:hAnsi="楷体" w:eastAsia="楷体" w:cs="宋体"/>
                <w:kern w:val="0"/>
                <w:sz w:val="22"/>
                <w:highlight w:val="none"/>
              </w:rPr>
            </w:pPr>
            <w:r>
              <w:rPr>
                <w:rFonts w:hint="eastAsia" w:ascii="楷体" w:hAnsi="楷体" w:eastAsia="楷体" w:cs="宋体"/>
                <w:kern w:val="0"/>
                <w:sz w:val="22"/>
              </w:rPr>
              <w:t>责令退回骗取的</w:t>
            </w:r>
            <w:r>
              <w:rPr>
                <w:rFonts w:hint="eastAsia" w:ascii="楷体" w:hAnsi="楷体" w:eastAsia="楷体" w:cs="宋体"/>
                <w:kern w:val="0"/>
                <w:sz w:val="22"/>
                <w:lang w:eastAsia="zh-CN"/>
              </w:rPr>
              <w:t>生育保险基金或者生育保险待遇费用</w:t>
            </w:r>
            <w:r>
              <w:rPr>
                <w:rFonts w:hint="eastAsia" w:ascii="楷体" w:hAnsi="楷体" w:eastAsia="楷体" w:cs="宋体"/>
                <w:kern w:val="0"/>
                <w:sz w:val="22"/>
              </w:rPr>
              <w:t>，处骗取金额二倍以上五倍以下的罚款</w:t>
            </w:r>
          </w:p>
        </w:tc>
        <w:tc>
          <w:tcPr>
            <w:tcW w:w="4230" w:type="dxa"/>
            <w:tcBorders>
              <w:top w:val="single" w:color="auto" w:sz="4" w:space="0"/>
              <w:left w:val="nil"/>
              <w:bottom w:val="single" w:color="auto" w:sz="4" w:space="0"/>
              <w:right w:val="single" w:color="auto" w:sz="4" w:space="0"/>
            </w:tcBorders>
            <w:vAlign w:val="center"/>
          </w:tcPr>
          <w:p>
            <w:pPr>
              <w:widowControl/>
              <w:spacing w:line="264" w:lineRule="auto"/>
              <w:jc w:val="both"/>
              <w:rPr>
                <w:rFonts w:hint="eastAsia" w:ascii="楷体" w:hAnsi="楷体" w:eastAsia="楷体" w:cs="宋体"/>
                <w:kern w:val="0"/>
                <w:sz w:val="22"/>
                <w:lang w:eastAsia="zh-CN"/>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2千</w:t>
            </w:r>
            <w:r>
              <w:rPr>
                <w:rFonts w:hint="eastAsia" w:ascii="楷体" w:hAnsi="楷体" w:eastAsia="楷体" w:cs="宋体"/>
                <w:kern w:val="0"/>
                <w:sz w:val="22"/>
              </w:rPr>
              <w:t>元</w:t>
            </w:r>
            <w:r>
              <w:rPr>
                <w:rFonts w:hint="eastAsia" w:ascii="楷体" w:hAnsi="楷体" w:eastAsia="楷体" w:cs="宋体"/>
                <w:kern w:val="0"/>
                <w:sz w:val="22"/>
                <w:lang w:eastAsia="zh-CN"/>
              </w:rPr>
              <w:t>以下</w:t>
            </w:r>
            <w:r>
              <w:rPr>
                <w:rFonts w:hint="eastAsia" w:ascii="楷体" w:hAnsi="楷体" w:eastAsia="楷体" w:cs="宋体"/>
                <w:kern w:val="0"/>
                <w:sz w:val="22"/>
              </w:rPr>
              <w:t>的</w:t>
            </w:r>
          </w:p>
        </w:tc>
        <w:tc>
          <w:tcPr>
            <w:tcW w:w="3855" w:type="dxa"/>
            <w:tcBorders>
              <w:top w:val="single" w:color="auto" w:sz="4" w:space="0"/>
              <w:left w:val="nil"/>
              <w:bottom w:val="single" w:color="auto" w:sz="4" w:space="0"/>
              <w:right w:val="nil"/>
            </w:tcBorders>
            <w:vAlign w:val="center"/>
          </w:tcPr>
          <w:p>
            <w:pPr>
              <w:widowControl/>
              <w:spacing w:line="264" w:lineRule="auto"/>
              <w:jc w:val="both"/>
              <w:rPr>
                <w:rFonts w:hint="eastAsia" w:ascii="楷体" w:hAnsi="楷体" w:eastAsia="楷体" w:cs="宋体"/>
                <w:kern w:val="0"/>
                <w:sz w:val="22"/>
              </w:rPr>
            </w:pPr>
            <w:r>
              <w:rPr>
                <w:rFonts w:hint="eastAsia" w:ascii="楷体" w:hAnsi="楷体" w:eastAsia="楷体" w:cs="宋体"/>
                <w:kern w:val="0"/>
                <w:sz w:val="22"/>
              </w:rPr>
              <w:t>按照2倍以上3倍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p>
        </w:tc>
        <w:tc>
          <w:tcPr>
            <w:tcW w:w="195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宋体"/>
                <w:kern w:val="0"/>
                <w:sz w:val="22"/>
                <w:lang w:eastAsia="zh-CN"/>
              </w:rPr>
            </w:pPr>
          </w:p>
        </w:tc>
      </w:tr>
      <w:tr>
        <w:tblPrEx>
          <w:tblCellMar>
            <w:top w:w="0" w:type="dxa"/>
            <w:left w:w="108" w:type="dxa"/>
            <w:bottom w:w="0" w:type="dxa"/>
            <w:right w:w="108" w:type="dxa"/>
          </w:tblCellMar>
        </w:tblPrEx>
        <w:trPr>
          <w:trHeight w:val="1229" w:hRule="atLeast"/>
        </w:trPr>
        <w:tc>
          <w:tcPr>
            <w:tcW w:w="488" w:type="dxa"/>
            <w:vMerge w:val="continue"/>
            <w:tcBorders>
              <w:top w:val="single" w:color="000000" w:sz="4" w:space="0"/>
              <w:left w:val="single" w:color="auto" w:sz="4" w:space="0"/>
              <w:bottom w:val="single" w:color="000000" w:sz="4" w:space="0"/>
              <w:right w:val="single" w:color="auto" w:sz="4" w:space="0"/>
            </w:tcBorders>
            <w:vAlign w:val="center"/>
          </w:tcPr>
          <w:p>
            <w:pPr>
              <w:widowControl/>
              <w:jc w:val="center"/>
              <w:rPr>
                <w:rFonts w:hint="eastAsia" w:ascii="楷体" w:hAnsi="楷体" w:eastAsia="楷体" w:cs="宋体"/>
                <w:kern w:val="0"/>
                <w:sz w:val="22"/>
                <w:highlight w:val="none"/>
                <w:lang w:val="en-US" w:eastAsia="zh-CN"/>
              </w:rPr>
            </w:pPr>
          </w:p>
        </w:tc>
        <w:tc>
          <w:tcPr>
            <w:tcW w:w="4337"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left"/>
              <w:rPr>
                <w:rFonts w:hint="eastAsia" w:ascii="楷体" w:hAnsi="楷体" w:eastAsia="楷体" w:cs="宋体"/>
                <w:kern w:val="0"/>
                <w:sz w:val="22"/>
                <w:lang w:eastAsia="zh-CN"/>
              </w:rPr>
            </w:pPr>
          </w:p>
        </w:tc>
        <w:tc>
          <w:tcPr>
            <w:tcW w:w="2385"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left"/>
              <w:rPr>
                <w:rFonts w:hint="eastAsia" w:ascii="楷体" w:hAnsi="楷体" w:eastAsia="楷体" w:cs="宋体"/>
                <w:kern w:val="0"/>
                <w:sz w:val="22"/>
                <w:lang w:eastAsia="zh-CN"/>
              </w:rPr>
            </w:pPr>
          </w:p>
        </w:tc>
        <w:tc>
          <w:tcPr>
            <w:tcW w:w="3840"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rPr>
                <w:rFonts w:ascii="楷体" w:hAnsi="楷体" w:eastAsia="楷体" w:cs="宋体"/>
                <w:kern w:val="0"/>
                <w:sz w:val="22"/>
                <w:highlight w:val="none"/>
              </w:rPr>
            </w:pPr>
          </w:p>
        </w:tc>
        <w:tc>
          <w:tcPr>
            <w:tcW w:w="4230" w:type="dxa"/>
            <w:tcBorders>
              <w:top w:val="single" w:color="auto" w:sz="4" w:space="0"/>
              <w:left w:val="nil"/>
              <w:bottom w:val="single" w:color="auto" w:sz="4" w:space="0"/>
              <w:right w:val="single" w:color="auto" w:sz="4" w:space="0"/>
            </w:tcBorders>
            <w:vAlign w:val="center"/>
          </w:tcPr>
          <w:p>
            <w:pPr>
              <w:widowControl/>
              <w:spacing w:line="264" w:lineRule="auto"/>
              <w:jc w:val="both"/>
              <w:rPr>
                <w:rFonts w:hint="eastAsia" w:ascii="楷体" w:hAnsi="楷体" w:eastAsia="楷体" w:cs="宋体"/>
                <w:kern w:val="0"/>
                <w:sz w:val="22"/>
                <w:lang w:eastAsia="zh-CN"/>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2</w:t>
            </w:r>
            <w:r>
              <w:rPr>
                <w:rFonts w:hint="eastAsia" w:ascii="楷体" w:hAnsi="楷体" w:eastAsia="楷体" w:cs="宋体"/>
                <w:kern w:val="0"/>
                <w:sz w:val="22"/>
                <w:lang w:eastAsia="zh-CN"/>
              </w:rPr>
              <w:t>千</w:t>
            </w:r>
            <w:r>
              <w:rPr>
                <w:rFonts w:hint="eastAsia" w:ascii="楷体" w:hAnsi="楷体" w:eastAsia="楷体" w:cs="宋体"/>
                <w:kern w:val="0"/>
                <w:sz w:val="22"/>
              </w:rPr>
              <w:t>元以上</w:t>
            </w:r>
            <w:r>
              <w:rPr>
                <w:rFonts w:hint="eastAsia" w:ascii="楷体" w:hAnsi="楷体" w:eastAsia="楷体" w:cs="宋体"/>
                <w:kern w:val="0"/>
                <w:sz w:val="22"/>
                <w:lang w:val="en-US" w:eastAsia="zh-CN"/>
              </w:rPr>
              <w:t>6千</w:t>
            </w:r>
            <w:r>
              <w:rPr>
                <w:rFonts w:hint="eastAsia" w:ascii="楷体" w:hAnsi="楷体" w:eastAsia="楷体" w:cs="宋体"/>
                <w:kern w:val="0"/>
                <w:sz w:val="22"/>
              </w:rPr>
              <w:t>元以下的</w:t>
            </w:r>
          </w:p>
        </w:tc>
        <w:tc>
          <w:tcPr>
            <w:tcW w:w="3855" w:type="dxa"/>
            <w:tcBorders>
              <w:top w:val="single" w:color="auto" w:sz="4" w:space="0"/>
              <w:left w:val="nil"/>
              <w:bottom w:val="single" w:color="auto" w:sz="4" w:space="0"/>
              <w:right w:val="nil"/>
            </w:tcBorders>
            <w:vAlign w:val="center"/>
          </w:tcPr>
          <w:p>
            <w:pPr>
              <w:widowControl/>
              <w:spacing w:line="264" w:lineRule="auto"/>
              <w:jc w:val="both"/>
              <w:rPr>
                <w:rFonts w:hint="eastAsia" w:ascii="楷体" w:hAnsi="楷体" w:eastAsia="楷体" w:cs="宋体"/>
                <w:kern w:val="0"/>
                <w:sz w:val="22"/>
              </w:rPr>
            </w:pPr>
            <w:r>
              <w:rPr>
                <w:rFonts w:hint="eastAsia" w:ascii="楷体" w:hAnsi="楷体" w:eastAsia="楷体" w:cs="宋体"/>
                <w:kern w:val="0"/>
                <w:sz w:val="22"/>
              </w:rPr>
              <w:t>按照</w:t>
            </w:r>
            <w:r>
              <w:rPr>
                <w:rFonts w:hint="eastAsia" w:ascii="楷体" w:hAnsi="楷体" w:eastAsia="楷体" w:cs="宋体"/>
                <w:kern w:val="0"/>
                <w:sz w:val="22"/>
                <w:lang w:val="en-US" w:eastAsia="zh-CN"/>
              </w:rPr>
              <w:t>3</w:t>
            </w:r>
            <w:r>
              <w:rPr>
                <w:rFonts w:hint="eastAsia" w:ascii="楷体" w:hAnsi="楷体" w:eastAsia="楷体" w:cs="宋体"/>
                <w:kern w:val="0"/>
                <w:sz w:val="22"/>
              </w:rPr>
              <w:t>倍以上</w:t>
            </w:r>
            <w:r>
              <w:rPr>
                <w:rFonts w:hint="eastAsia" w:ascii="楷体" w:hAnsi="楷体" w:eastAsia="楷体" w:cs="宋体"/>
                <w:kern w:val="0"/>
                <w:sz w:val="22"/>
                <w:lang w:val="en-US" w:eastAsia="zh-CN"/>
              </w:rPr>
              <w:t>4</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p>
        </w:tc>
        <w:tc>
          <w:tcPr>
            <w:tcW w:w="19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宋体"/>
                <w:kern w:val="0"/>
                <w:sz w:val="22"/>
                <w:lang w:eastAsia="zh-CN"/>
              </w:rPr>
            </w:pPr>
          </w:p>
        </w:tc>
      </w:tr>
      <w:tr>
        <w:tblPrEx>
          <w:tblCellMar>
            <w:top w:w="0" w:type="dxa"/>
            <w:left w:w="108" w:type="dxa"/>
            <w:bottom w:w="0" w:type="dxa"/>
            <w:right w:w="108" w:type="dxa"/>
          </w:tblCellMar>
        </w:tblPrEx>
        <w:trPr>
          <w:trHeight w:val="1229" w:hRule="atLeast"/>
        </w:trPr>
        <w:tc>
          <w:tcPr>
            <w:tcW w:w="488" w:type="dxa"/>
            <w:vMerge w:val="continue"/>
            <w:tcBorders>
              <w:top w:val="single" w:color="000000" w:sz="4" w:space="0"/>
              <w:left w:val="single" w:color="auto" w:sz="4" w:space="0"/>
              <w:bottom w:val="single" w:color="000000" w:sz="4" w:space="0"/>
              <w:right w:val="single" w:color="auto" w:sz="4" w:space="0"/>
            </w:tcBorders>
            <w:vAlign w:val="center"/>
          </w:tcPr>
          <w:p>
            <w:pPr>
              <w:widowControl/>
              <w:jc w:val="center"/>
              <w:rPr>
                <w:rFonts w:hint="eastAsia" w:ascii="楷体" w:hAnsi="楷体" w:eastAsia="楷体" w:cs="宋体"/>
                <w:kern w:val="0"/>
                <w:sz w:val="22"/>
                <w:highlight w:val="none"/>
                <w:lang w:val="en-US" w:eastAsia="zh-CN"/>
              </w:rPr>
            </w:pPr>
          </w:p>
        </w:tc>
        <w:tc>
          <w:tcPr>
            <w:tcW w:w="4337"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left"/>
              <w:rPr>
                <w:rFonts w:hint="eastAsia" w:ascii="楷体" w:hAnsi="楷体" w:eastAsia="楷体" w:cs="宋体"/>
                <w:kern w:val="0"/>
                <w:sz w:val="22"/>
                <w:lang w:eastAsia="zh-CN"/>
              </w:rPr>
            </w:pPr>
          </w:p>
        </w:tc>
        <w:tc>
          <w:tcPr>
            <w:tcW w:w="2385"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left"/>
              <w:rPr>
                <w:rFonts w:hint="eastAsia" w:ascii="楷体" w:hAnsi="楷体" w:eastAsia="楷体" w:cs="宋体"/>
                <w:kern w:val="0"/>
                <w:sz w:val="22"/>
                <w:lang w:eastAsia="zh-CN"/>
              </w:rPr>
            </w:pPr>
          </w:p>
        </w:tc>
        <w:tc>
          <w:tcPr>
            <w:tcW w:w="3840"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rPr>
                <w:rFonts w:ascii="楷体" w:hAnsi="楷体" w:eastAsia="楷体" w:cs="宋体"/>
                <w:kern w:val="0"/>
                <w:sz w:val="22"/>
                <w:highlight w:val="none"/>
              </w:rPr>
            </w:pPr>
          </w:p>
        </w:tc>
        <w:tc>
          <w:tcPr>
            <w:tcW w:w="4230" w:type="dxa"/>
            <w:tcBorders>
              <w:top w:val="single" w:color="auto" w:sz="4" w:space="0"/>
              <w:left w:val="nil"/>
              <w:bottom w:val="single" w:color="auto" w:sz="4" w:space="0"/>
              <w:right w:val="single" w:color="auto" w:sz="4" w:space="0"/>
            </w:tcBorders>
            <w:vAlign w:val="center"/>
          </w:tcPr>
          <w:p>
            <w:pPr>
              <w:widowControl/>
              <w:spacing w:line="264" w:lineRule="auto"/>
              <w:jc w:val="both"/>
              <w:rPr>
                <w:rFonts w:hint="eastAsia" w:ascii="楷体" w:hAnsi="楷体" w:eastAsia="楷体" w:cs="宋体"/>
                <w:kern w:val="0"/>
                <w:sz w:val="22"/>
                <w:lang w:eastAsia="zh-CN"/>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6千</w:t>
            </w:r>
            <w:r>
              <w:rPr>
                <w:rFonts w:hint="eastAsia" w:ascii="楷体" w:hAnsi="楷体" w:eastAsia="楷体" w:cs="宋体"/>
                <w:kern w:val="0"/>
                <w:sz w:val="22"/>
              </w:rPr>
              <w:t>元</w:t>
            </w:r>
            <w:r>
              <w:rPr>
                <w:rFonts w:hint="eastAsia" w:ascii="楷体" w:hAnsi="楷体" w:eastAsia="楷体" w:cs="宋体"/>
                <w:kern w:val="0"/>
                <w:sz w:val="22"/>
                <w:lang w:eastAsia="zh-CN"/>
              </w:rPr>
              <w:t>以上</w:t>
            </w:r>
            <w:r>
              <w:rPr>
                <w:rFonts w:hint="eastAsia" w:ascii="楷体" w:hAnsi="楷体" w:eastAsia="楷体" w:cs="宋体"/>
                <w:kern w:val="0"/>
                <w:sz w:val="22"/>
              </w:rPr>
              <w:t>的</w:t>
            </w:r>
          </w:p>
        </w:tc>
        <w:tc>
          <w:tcPr>
            <w:tcW w:w="3855" w:type="dxa"/>
            <w:tcBorders>
              <w:top w:val="single" w:color="auto" w:sz="4" w:space="0"/>
              <w:left w:val="nil"/>
              <w:bottom w:val="single" w:color="auto" w:sz="4" w:space="0"/>
              <w:right w:val="nil"/>
            </w:tcBorders>
            <w:vAlign w:val="center"/>
          </w:tcPr>
          <w:p>
            <w:pPr>
              <w:widowControl/>
              <w:spacing w:line="264" w:lineRule="auto"/>
              <w:jc w:val="both"/>
              <w:rPr>
                <w:rFonts w:hint="eastAsia" w:ascii="楷体" w:hAnsi="楷体" w:eastAsia="楷体" w:cs="宋体"/>
                <w:kern w:val="0"/>
                <w:sz w:val="22"/>
              </w:rPr>
            </w:pPr>
            <w:r>
              <w:rPr>
                <w:rFonts w:hint="eastAsia" w:ascii="楷体" w:hAnsi="楷体" w:eastAsia="楷体" w:cs="宋体"/>
                <w:kern w:val="0"/>
                <w:sz w:val="22"/>
              </w:rPr>
              <w:t>按照</w:t>
            </w:r>
            <w:r>
              <w:rPr>
                <w:rFonts w:hint="eastAsia" w:ascii="楷体" w:hAnsi="楷体" w:eastAsia="楷体" w:cs="宋体"/>
                <w:kern w:val="0"/>
                <w:sz w:val="22"/>
                <w:lang w:val="en-US" w:eastAsia="zh-CN"/>
              </w:rPr>
              <w:t>4</w:t>
            </w:r>
            <w:r>
              <w:rPr>
                <w:rFonts w:hint="eastAsia" w:ascii="楷体" w:hAnsi="楷体" w:eastAsia="楷体" w:cs="宋体"/>
                <w:kern w:val="0"/>
                <w:sz w:val="22"/>
              </w:rPr>
              <w:t>倍以上</w:t>
            </w:r>
            <w:r>
              <w:rPr>
                <w:rFonts w:hint="eastAsia" w:ascii="楷体" w:hAnsi="楷体" w:eastAsia="楷体" w:cs="宋体"/>
                <w:kern w:val="0"/>
                <w:sz w:val="22"/>
                <w:lang w:val="en-US" w:eastAsia="zh-CN"/>
              </w:rPr>
              <w:t>5</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p>
        </w:tc>
        <w:tc>
          <w:tcPr>
            <w:tcW w:w="19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宋体"/>
                <w:kern w:val="0"/>
                <w:sz w:val="22"/>
                <w:lang w:eastAsia="zh-CN"/>
              </w:rPr>
            </w:pPr>
          </w:p>
        </w:tc>
      </w:tr>
      <w:tr>
        <w:tblPrEx>
          <w:tblCellMar>
            <w:top w:w="0" w:type="dxa"/>
            <w:left w:w="108" w:type="dxa"/>
            <w:bottom w:w="0" w:type="dxa"/>
            <w:right w:w="108" w:type="dxa"/>
          </w:tblCellMar>
        </w:tblPrEx>
        <w:trPr>
          <w:trHeight w:val="1229" w:hRule="atLeast"/>
        </w:trPr>
        <w:tc>
          <w:tcPr>
            <w:tcW w:w="488"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rPr>
                <w:rFonts w:hint="default" w:ascii="楷体" w:hAnsi="楷体" w:eastAsia="楷体" w:cs="宋体"/>
                <w:kern w:val="0"/>
                <w:sz w:val="22"/>
                <w:highlight w:val="none"/>
                <w:lang w:val="en-US" w:eastAsia="zh-CN"/>
              </w:rPr>
            </w:pPr>
            <w:r>
              <w:rPr>
                <w:rFonts w:hint="eastAsia" w:ascii="楷体" w:hAnsi="楷体" w:eastAsia="楷体" w:cs="宋体"/>
                <w:kern w:val="0"/>
                <w:sz w:val="22"/>
                <w:highlight w:val="none"/>
                <w:lang w:val="en-US" w:eastAsia="zh-CN"/>
              </w:rPr>
              <w:t>10</w:t>
            </w:r>
          </w:p>
        </w:tc>
        <w:tc>
          <w:tcPr>
            <w:tcW w:w="4337"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left"/>
              <w:rPr>
                <w:rFonts w:hint="eastAsia" w:ascii="楷体" w:hAnsi="楷体" w:eastAsia="楷体" w:cs="宋体"/>
                <w:kern w:val="0"/>
                <w:sz w:val="22"/>
                <w:lang w:val="en-US" w:eastAsia="zh-CN"/>
              </w:rPr>
            </w:pPr>
            <w:r>
              <w:rPr>
                <w:rFonts w:hint="eastAsia" w:ascii="楷体" w:hAnsi="楷体" w:eastAsia="楷体" w:cs="宋体"/>
                <w:kern w:val="0"/>
                <w:sz w:val="22"/>
                <w:lang w:val="en-US" w:eastAsia="zh-CN"/>
              </w:rPr>
              <w:t>采取虚报、隐瞒、伪造等手段，骗取医疗救助基金的</w:t>
            </w:r>
          </w:p>
          <w:p>
            <w:pPr>
              <w:widowControl/>
              <w:spacing w:line="264" w:lineRule="auto"/>
              <w:jc w:val="left"/>
              <w:rPr>
                <w:rFonts w:hint="eastAsia" w:ascii="楷体" w:hAnsi="楷体" w:eastAsia="楷体" w:cs="宋体"/>
                <w:kern w:val="0"/>
                <w:sz w:val="22"/>
                <w:lang w:eastAsia="zh-CN"/>
              </w:rPr>
            </w:pPr>
          </w:p>
        </w:tc>
        <w:tc>
          <w:tcPr>
            <w:tcW w:w="2385"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left"/>
              <w:rPr>
                <w:rFonts w:hint="eastAsia" w:ascii="楷体" w:hAnsi="楷体" w:eastAsia="楷体" w:cs="宋体"/>
                <w:kern w:val="0"/>
                <w:sz w:val="22"/>
                <w:lang w:val="en-US" w:eastAsia="zh-CN"/>
              </w:rPr>
            </w:pPr>
            <w:r>
              <w:rPr>
                <w:rFonts w:hint="eastAsia" w:ascii="楷体" w:hAnsi="楷体" w:eastAsia="楷体" w:cs="宋体"/>
                <w:kern w:val="0"/>
                <w:sz w:val="22"/>
                <w:lang w:val="en-US" w:eastAsia="zh-CN"/>
              </w:rPr>
              <w:t>《社会救助暂行办法》第六十八条</w:t>
            </w:r>
          </w:p>
        </w:tc>
        <w:tc>
          <w:tcPr>
            <w:tcW w:w="3840"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left"/>
              <w:rPr>
                <w:rFonts w:hint="eastAsia" w:ascii="楷体" w:hAnsi="楷体" w:eastAsia="楷体" w:cs="宋体"/>
                <w:kern w:val="0"/>
                <w:sz w:val="22"/>
                <w:lang w:val="en-US" w:eastAsia="zh-CN"/>
              </w:rPr>
            </w:pPr>
            <w:r>
              <w:rPr>
                <w:rFonts w:hint="eastAsia" w:ascii="楷体" w:hAnsi="楷体" w:eastAsia="楷体" w:cs="宋体"/>
                <w:kern w:val="0"/>
                <w:sz w:val="22"/>
                <w:lang w:val="en-US" w:eastAsia="zh-CN"/>
              </w:rPr>
              <w:t>停止社会救助，责令退回非法获取的救助资金、物资，可以处非法获取的救助款额或者物资价值1倍以上3倍以下的罚款。</w:t>
            </w:r>
          </w:p>
        </w:tc>
        <w:tc>
          <w:tcPr>
            <w:tcW w:w="4230" w:type="dxa"/>
            <w:tcBorders>
              <w:top w:val="single" w:color="auto" w:sz="4" w:space="0"/>
              <w:left w:val="nil"/>
              <w:bottom w:val="single" w:color="auto" w:sz="4" w:space="0"/>
              <w:right w:val="single" w:color="auto" w:sz="4" w:space="0"/>
            </w:tcBorders>
            <w:vAlign w:val="center"/>
          </w:tcPr>
          <w:p>
            <w:pPr>
              <w:widowControl/>
              <w:spacing w:line="264" w:lineRule="auto"/>
              <w:jc w:val="both"/>
              <w:rPr>
                <w:rFonts w:hint="eastAsia" w:ascii="楷体" w:hAnsi="楷体" w:eastAsia="楷体" w:cs="宋体"/>
                <w:kern w:val="0"/>
                <w:sz w:val="22"/>
                <w:lang w:val="en-US" w:eastAsia="zh-CN"/>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2</w:t>
            </w:r>
            <w:r>
              <w:rPr>
                <w:rFonts w:hint="eastAsia" w:ascii="楷体" w:hAnsi="楷体" w:eastAsia="楷体" w:cs="宋体"/>
                <w:kern w:val="0"/>
                <w:sz w:val="22"/>
                <w:lang w:eastAsia="zh-CN"/>
              </w:rPr>
              <w:t>千</w:t>
            </w:r>
            <w:r>
              <w:rPr>
                <w:rFonts w:hint="eastAsia" w:ascii="楷体" w:hAnsi="楷体" w:eastAsia="楷体" w:cs="宋体"/>
                <w:kern w:val="0"/>
                <w:sz w:val="22"/>
              </w:rPr>
              <w:t>元</w:t>
            </w:r>
            <w:r>
              <w:rPr>
                <w:rFonts w:hint="eastAsia" w:ascii="楷体" w:hAnsi="楷体" w:eastAsia="楷体" w:cs="宋体"/>
                <w:kern w:val="0"/>
                <w:sz w:val="22"/>
                <w:lang w:eastAsia="zh-CN"/>
              </w:rPr>
              <w:t>以下</w:t>
            </w:r>
            <w:r>
              <w:rPr>
                <w:rFonts w:hint="eastAsia" w:ascii="楷体" w:hAnsi="楷体" w:eastAsia="楷体" w:cs="宋体"/>
                <w:kern w:val="0"/>
                <w:sz w:val="22"/>
              </w:rPr>
              <w:t>的</w:t>
            </w:r>
          </w:p>
        </w:tc>
        <w:tc>
          <w:tcPr>
            <w:tcW w:w="3855" w:type="dxa"/>
            <w:tcBorders>
              <w:top w:val="single" w:color="auto" w:sz="4" w:space="0"/>
              <w:left w:val="nil"/>
              <w:bottom w:val="single" w:color="auto" w:sz="4" w:space="0"/>
              <w:right w:val="nil"/>
            </w:tcBorders>
            <w:vAlign w:val="center"/>
          </w:tcPr>
          <w:p>
            <w:pPr>
              <w:widowControl/>
              <w:spacing w:line="264" w:lineRule="auto"/>
              <w:jc w:val="both"/>
              <w:rPr>
                <w:rFonts w:hint="eastAsia" w:ascii="楷体" w:hAnsi="楷体" w:eastAsia="楷体" w:cs="宋体"/>
                <w:kern w:val="0"/>
                <w:sz w:val="22"/>
                <w:lang w:val="en-US" w:eastAsia="zh-CN"/>
              </w:rPr>
            </w:pPr>
            <w:r>
              <w:rPr>
                <w:rFonts w:hint="eastAsia" w:ascii="楷体" w:hAnsi="楷体" w:eastAsia="楷体" w:cs="宋体"/>
                <w:kern w:val="0"/>
                <w:sz w:val="22"/>
              </w:rPr>
              <w:t>按照</w:t>
            </w:r>
            <w:r>
              <w:rPr>
                <w:rFonts w:hint="eastAsia" w:ascii="楷体" w:hAnsi="楷体" w:eastAsia="楷体" w:cs="宋体"/>
                <w:kern w:val="0"/>
                <w:sz w:val="22"/>
                <w:lang w:val="en-US" w:eastAsia="zh-CN"/>
              </w:rPr>
              <w:t>1</w:t>
            </w:r>
            <w:r>
              <w:rPr>
                <w:rFonts w:hint="eastAsia" w:ascii="楷体" w:hAnsi="楷体" w:eastAsia="楷体" w:cs="宋体"/>
                <w:kern w:val="0"/>
                <w:sz w:val="22"/>
              </w:rPr>
              <w:t>倍以上</w:t>
            </w:r>
            <w:r>
              <w:rPr>
                <w:rFonts w:hint="eastAsia" w:ascii="楷体" w:hAnsi="楷体" w:eastAsia="楷体" w:cs="宋体"/>
                <w:kern w:val="0"/>
                <w:sz w:val="22"/>
                <w:lang w:val="en-US" w:eastAsia="zh-CN"/>
              </w:rPr>
              <w:t>1.5</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p>
        </w:tc>
        <w:tc>
          <w:tcPr>
            <w:tcW w:w="195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rPr>
                <w:rFonts w:hint="eastAsia" w:ascii="楷体" w:hAnsi="楷体" w:eastAsia="楷体" w:cs="宋体"/>
                <w:kern w:val="0"/>
                <w:sz w:val="22"/>
                <w:lang w:val="en-US" w:eastAsia="zh-CN"/>
              </w:rPr>
            </w:pPr>
          </w:p>
        </w:tc>
      </w:tr>
      <w:tr>
        <w:tblPrEx>
          <w:tblCellMar>
            <w:top w:w="0" w:type="dxa"/>
            <w:left w:w="108" w:type="dxa"/>
            <w:bottom w:w="0" w:type="dxa"/>
            <w:right w:w="108" w:type="dxa"/>
          </w:tblCellMar>
        </w:tblPrEx>
        <w:trPr>
          <w:trHeight w:val="1229" w:hRule="atLeast"/>
        </w:trPr>
        <w:tc>
          <w:tcPr>
            <w:tcW w:w="488" w:type="dxa"/>
            <w:vMerge w:val="continue"/>
            <w:tcBorders>
              <w:top w:val="single" w:color="000000" w:sz="4" w:space="0"/>
              <w:left w:val="single" w:color="auto" w:sz="4" w:space="0"/>
              <w:bottom w:val="single" w:color="000000" w:sz="4" w:space="0"/>
              <w:right w:val="single" w:color="auto" w:sz="4" w:space="0"/>
            </w:tcBorders>
            <w:vAlign w:val="center"/>
          </w:tcPr>
          <w:p>
            <w:pPr>
              <w:widowControl/>
              <w:jc w:val="center"/>
              <w:rPr>
                <w:rFonts w:hint="eastAsia" w:ascii="楷体" w:hAnsi="楷体" w:eastAsia="楷体" w:cs="宋体"/>
                <w:kern w:val="0"/>
                <w:sz w:val="22"/>
                <w:highlight w:val="none"/>
                <w:lang w:val="en-US" w:eastAsia="zh-CN"/>
              </w:rPr>
            </w:pPr>
          </w:p>
        </w:tc>
        <w:tc>
          <w:tcPr>
            <w:tcW w:w="4337"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center"/>
              <w:rPr>
                <w:rFonts w:hint="eastAsia" w:ascii="楷体" w:hAnsi="楷体" w:eastAsia="楷体" w:cs="宋体"/>
                <w:kern w:val="0"/>
                <w:sz w:val="22"/>
                <w:lang w:eastAsia="zh-CN"/>
              </w:rPr>
            </w:pPr>
          </w:p>
        </w:tc>
        <w:tc>
          <w:tcPr>
            <w:tcW w:w="2385"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center"/>
              <w:rPr>
                <w:rFonts w:hint="eastAsia" w:ascii="楷体" w:hAnsi="楷体" w:eastAsia="楷体" w:cs="宋体"/>
                <w:kern w:val="0"/>
                <w:sz w:val="22"/>
                <w:lang w:val="en-US" w:eastAsia="zh-CN"/>
              </w:rPr>
            </w:pPr>
          </w:p>
        </w:tc>
        <w:tc>
          <w:tcPr>
            <w:tcW w:w="3840"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center"/>
              <w:rPr>
                <w:rFonts w:hint="eastAsia" w:ascii="楷体" w:hAnsi="楷体" w:eastAsia="楷体" w:cs="宋体"/>
                <w:kern w:val="0"/>
                <w:sz w:val="22"/>
                <w:lang w:val="en-US" w:eastAsia="zh-CN"/>
              </w:rPr>
            </w:pPr>
          </w:p>
        </w:tc>
        <w:tc>
          <w:tcPr>
            <w:tcW w:w="4230" w:type="dxa"/>
            <w:tcBorders>
              <w:top w:val="single" w:color="auto" w:sz="4" w:space="0"/>
              <w:left w:val="nil"/>
              <w:bottom w:val="single" w:color="auto" w:sz="4" w:space="0"/>
              <w:right w:val="single" w:color="auto" w:sz="4" w:space="0"/>
            </w:tcBorders>
            <w:vAlign w:val="center"/>
          </w:tcPr>
          <w:p>
            <w:pPr>
              <w:widowControl/>
              <w:spacing w:line="264" w:lineRule="auto"/>
              <w:jc w:val="both"/>
              <w:rPr>
                <w:rFonts w:hint="eastAsia" w:ascii="楷体" w:hAnsi="楷体" w:eastAsia="楷体" w:cs="宋体"/>
                <w:kern w:val="0"/>
                <w:sz w:val="22"/>
                <w:lang w:val="en-US" w:eastAsia="zh-CN"/>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2</w:t>
            </w:r>
            <w:r>
              <w:rPr>
                <w:rFonts w:hint="eastAsia" w:ascii="楷体" w:hAnsi="楷体" w:eastAsia="楷体" w:cs="宋体"/>
                <w:kern w:val="0"/>
                <w:sz w:val="22"/>
                <w:lang w:eastAsia="zh-CN"/>
              </w:rPr>
              <w:t>千</w:t>
            </w:r>
            <w:r>
              <w:rPr>
                <w:rFonts w:hint="eastAsia" w:ascii="楷体" w:hAnsi="楷体" w:eastAsia="楷体" w:cs="宋体"/>
                <w:kern w:val="0"/>
                <w:sz w:val="22"/>
              </w:rPr>
              <w:t>元以上</w:t>
            </w:r>
            <w:r>
              <w:rPr>
                <w:rFonts w:hint="eastAsia" w:ascii="楷体" w:hAnsi="楷体" w:eastAsia="楷体" w:cs="宋体"/>
                <w:kern w:val="0"/>
                <w:sz w:val="22"/>
                <w:lang w:val="en-US" w:eastAsia="zh-CN"/>
              </w:rPr>
              <w:t>6</w:t>
            </w:r>
            <w:r>
              <w:rPr>
                <w:rFonts w:hint="eastAsia" w:ascii="楷体" w:hAnsi="楷体" w:eastAsia="楷体" w:cs="宋体"/>
                <w:kern w:val="0"/>
                <w:sz w:val="22"/>
                <w:lang w:eastAsia="zh-CN"/>
              </w:rPr>
              <w:t>千</w:t>
            </w:r>
            <w:r>
              <w:rPr>
                <w:rFonts w:hint="eastAsia" w:ascii="楷体" w:hAnsi="楷体" w:eastAsia="楷体" w:cs="宋体"/>
                <w:kern w:val="0"/>
                <w:sz w:val="22"/>
              </w:rPr>
              <w:t>元以下的</w:t>
            </w:r>
          </w:p>
        </w:tc>
        <w:tc>
          <w:tcPr>
            <w:tcW w:w="3855" w:type="dxa"/>
            <w:tcBorders>
              <w:top w:val="single" w:color="auto" w:sz="4" w:space="0"/>
              <w:left w:val="nil"/>
              <w:bottom w:val="single" w:color="auto" w:sz="4" w:space="0"/>
              <w:right w:val="nil"/>
            </w:tcBorders>
            <w:vAlign w:val="center"/>
          </w:tcPr>
          <w:p>
            <w:pPr>
              <w:widowControl/>
              <w:spacing w:line="264" w:lineRule="auto"/>
              <w:jc w:val="both"/>
              <w:rPr>
                <w:rFonts w:hint="eastAsia" w:ascii="楷体" w:hAnsi="楷体" w:eastAsia="楷体" w:cs="宋体"/>
                <w:kern w:val="0"/>
                <w:sz w:val="22"/>
                <w:lang w:val="en-US" w:eastAsia="zh-CN"/>
              </w:rPr>
            </w:pPr>
            <w:r>
              <w:rPr>
                <w:rFonts w:hint="eastAsia" w:ascii="楷体" w:hAnsi="楷体" w:eastAsia="楷体" w:cs="宋体"/>
                <w:kern w:val="0"/>
                <w:sz w:val="22"/>
              </w:rPr>
              <w:t>按照</w:t>
            </w:r>
            <w:r>
              <w:rPr>
                <w:rFonts w:hint="eastAsia" w:ascii="楷体" w:hAnsi="楷体" w:eastAsia="楷体" w:cs="宋体"/>
                <w:kern w:val="0"/>
                <w:sz w:val="22"/>
                <w:lang w:val="en-US" w:eastAsia="zh-CN"/>
              </w:rPr>
              <w:t>1.5</w:t>
            </w:r>
            <w:r>
              <w:rPr>
                <w:rFonts w:hint="eastAsia" w:ascii="楷体" w:hAnsi="楷体" w:eastAsia="楷体" w:cs="宋体"/>
                <w:kern w:val="0"/>
                <w:sz w:val="22"/>
              </w:rPr>
              <w:t>倍以上</w:t>
            </w:r>
            <w:r>
              <w:rPr>
                <w:rFonts w:hint="eastAsia" w:ascii="楷体" w:hAnsi="楷体" w:eastAsia="楷体" w:cs="宋体"/>
                <w:kern w:val="0"/>
                <w:sz w:val="22"/>
                <w:lang w:val="en-US" w:eastAsia="zh-CN"/>
              </w:rPr>
              <w:t>2</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p>
        </w:tc>
        <w:tc>
          <w:tcPr>
            <w:tcW w:w="19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rPr>
                <w:rFonts w:hint="eastAsia" w:ascii="楷体" w:hAnsi="楷体" w:eastAsia="楷体" w:cs="宋体"/>
                <w:kern w:val="0"/>
                <w:sz w:val="22"/>
                <w:lang w:val="en-US" w:eastAsia="zh-CN"/>
              </w:rPr>
            </w:pPr>
          </w:p>
        </w:tc>
      </w:tr>
      <w:tr>
        <w:tblPrEx>
          <w:tblCellMar>
            <w:top w:w="0" w:type="dxa"/>
            <w:left w:w="108" w:type="dxa"/>
            <w:bottom w:w="0" w:type="dxa"/>
            <w:right w:w="108" w:type="dxa"/>
          </w:tblCellMar>
        </w:tblPrEx>
        <w:trPr>
          <w:trHeight w:val="1229" w:hRule="atLeast"/>
        </w:trPr>
        <w:tc>
          <w:tcPr>
            <w:tcW w:w="488" w:type="dxa"/>
            <w:vMerge w:val="continue"/>
            <w:tcBorders>
              <w:top w:val="single" w:color="000000" w:sz="4" w:space="0"/>
              <w:left w:val="single" w:color="auto" w:sz="4" w:space="0"/>
              <w:bottom w:val="single" w:color="000000" w:sz="4" w:space="0"/>
              <w:right w:val="single" w:color="auto" w:sz="4" w:space="0"/>
            </w:tcBorders>
            <w:vAlign w:val="center"/>
          </w:tcPr>
          <w:p>
            <w:pPr>
              <w:widowControl/>
              <w:jc w:val="center"/>
              <w:rPr>
                <w:rFonts w:hint="eastAsia" w:ascii="楷体" w:hAnsi="楷体" w:eastAsia="楷体" w:cs="宋体"/>
                <w:kern w:val="0"/>
                <w:sz w:val="22"/>
                <w:highlight w:val="none"/>
                <w:lang w:val="en-US" w:eastAsia="zh-CN"/>
              </w:rPr>
            </w:pPr>
          </w:p>
        </w:tc>
        <w:tc>
          <w:tcPr>
            <w:tcW w:w="4337"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center"/>
              <w:rPr>
                <w:rFonts w:hint="eastAsia" w:ascii="楷体" w:hAnsi="楷体" w:eastAsia="楷体" w:cs="宋体"/>
                <w:kern w:val="0"/>
                <w:sz w:val="22"/>
                <w:lang w:eastAsia="zh-CN"/>
              </w:rPr>
            </w:pPr>
          </w:p>
        </w:tc>
        <w:tc>
          <w:tcPr>
            <w:tcW w:w="2385"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center"/>
              <w:rPr>
                <w:rFonts w:hint="eastAsia" w:ascii="楷体" w:hAnsi="楷体" w:eastAsia="楷体" w:cs="宋体"/>
                <w:kern w:val="0"/>
                <w:sz w:val="22"/>
                <w:lang w:val="en-US" w:eastAsia="zh-CN"/>
              </w:rPr>
            </w:pPr>
          </w:p>
        </w:tc>
        <w:tc>
          <w:tcPr>
            <w:tcW w:w="3840"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center"/>
              <w:rPr>
                <w:rFonts w:hint="eastAsia" w:ascii="楷体" w:hAnsi="楷体" w:eastAsia="楷体" w:cs="宋体"/>
                <w:kern w:val="0"/>
                <w:sz w:val="22"/>
                <w:lang w:val="en-US" w:eastAsia="zh-CN"/>
              </w:rPr>
            </w:pPr>
          </w:p>
        </w:tc>
        <w:tc>
          <w:tcPr>
            <w:tcW w:w="4230" w:type="dxa"/>
            <w:tcBorders>
              <w:top w:val="single" w:color="auto" w:sz="4" w:space="0"/>
              <w:left w:val="nil"/>
              <w:bottom w:val="single" w:color="auto" w:sz="4" w:space="0"/>
              <w:right w:val="single" w:color="auto" w:sz="4" w:space="0"/>
            </w:tcBorders>
            <w:vAlign w:val="center"/>
          </w:tcPr>
          <w:p>
            <w:pPr>
              <w:widowControl/>
              <w:spacing w:line="264" w:lineRule="auto"/>
              <w:jc w:val="both"/>
              <w:rPr>
                <w:rFonts w:hint="eastAsia" w:ascii="楷体" w:hAnsi="楷体" w:eastAsia="楷体" w:cs="宋体"/>
                <w:kern w:val="0"/>
                <w:sz w:val="22"/>
                <w:lang w:val="en-US" w:eastAsia="zh-CN"/>
              </w:rPr>
            </w:pPr>
            <w:r>
              <w:rPr>
                <w:rFonts w:hint="eastAsia" w:ascii="楷体" w:hAnsi="楷体" w:eastAsia="楷体" w:cs="宋体"/>
                <w:kern w:val="0"/>
                <w:sz w:val="22"/>
              </w:rPr>
              <w:t>造成基金损失</w:t>
            </w:r>
            <w:r>
              <w:rPr>
                <w:rFonts w:hint="eastAsia" w:ascii="楷体" w:hAnsi="楷体" w:eastAsia="楷体" w:cs="宋体"/>
                <w:kern w:val="0"/>
                <w:sz w:val="22"/>
                <w:lang w:val="en-US" w:eastAsia="zh-CN"/>
              </w:rPr>
              <w:t>6</w:t>
            </w:r>
            <w:r>
              <w:rPr>
                <w:rFonts w:hint="eastAsia" w:ascii="楷体" w:hAnsi="楷体" w:eastAsia="楷体" w:cs="宋体"/>
                <w:kern w:val="0"/>
                <w:sz w:val="22"/>
                <w:lang w:eastAsia="zh-CN"/>
              </w:rPr>
              <w:t>千</w:t>
            </w:r>
            <w:r>
              <w:rPr>
                <w:rFonts w:hint="eastAsia" w:ascii="楷体" w:hAnsi="楷体" w:eastAsia="楷体" w:cs="宋体"/>
                <w:kern w:val="0"/>
                <w:sz w:val="22"/>
              </w:rPr>
              <w:t>元</w:t>
            </w:r>
            <w:r>
              <w:rPr>
                <w:rFonts w:hint="eastAsia" w:ascii="楷体" w:hAnsi="楷体" w:eastAsia="楷体" w:cs="宋体"/>
                <w:kern w:val="0"/>
                <w:sz w:val="22"/>
                <w:lang w:eastAsia="zh-CN"/>
              </w:rPr>
              <w:t>以上</w:t>
            </w:r>
            <w:r>
              <w:rPr>
                <w:rFonts w:hint="eastAsia" w:ascii="楷体" w:hAnsi="楷体" w:eastAsia="楷体" w:cs="宋体"/>
                <w:kern w:val="0"/>
                <w:sz w:val="22"/>
              </w:rPr>
              <w:t>的</w:t>
            </w:r>
          </w:p>
        </w:tc>
        <w:tc>
          <w:tcPr>
            <w:tcW w:w="3855" w:type="dxa"/>
            <w:tcBorders>
              <w:top w:val="single" w:color="auto" w:sz="4" w:space="0"/>
              <w:left w:val="nil"/>
              <w:bottom w:val="single" w:color="auto" w:sz="4" w:space="0"/>
              <w:right w:val="nil"/>
            </w:tcBorders>
            <w:vAlign w:val="center"/>
          </w:tcPr>
          <w:p>
            <w:pPr>
              <w:widowControl/>
              <w:spacing w:line="264" w:lineRule="auto"/>
              <w:jc w:val="both"/>
              <w:rPr>
                <w:rFonts w:hint="eastAsia" w:ascii="楷体" w:hAnsi="楷体" w:eastAsia="楷体" w:cs="宋体"/>
                <w:kern w:val="0"/>
                <w:sz w:val="22"/>
                <w:lang w:val="en-US" w:eastAsia="zh-CN"/>
              </w:rPr>
            </w:pPr>
            <w:r>
              <w:rPr>
                <w:rFonts w:hint="eastAsia" w:ascii="楷体" w:hAnsi="楷体" w:eastAsia="楷体" w:cs="宋体"/>
                <w:kern w:val="0"/>
                <w:sz w:val="22"/>
              </w:rPr>
              <w:t>按照</w:t>
            </w:r>
            <w:r>
              <w:rPr>
                <w:rFonts w:hint="eastAsia" w:ascii="楷体" w:hAnsi="楷体" w:eastAsia="楷体" w:cs="宋体"/>
                <w:kern w:val="0"/>
                <w:sz w:val="22"/>
                <w:lang w:val="en-US" w:eastAsia="zh-CN"/>
              </w:rPr>
              <w:t>2</w:t>
            </w:r>
            <w:r>
              <w:rPr>
                <w:rFonts w:hint="eastAsia" w:ascii="楷体" w:hAnsi="楷体" w:eastAsia="楷体" w:cs="宋体"/>
                <w:kern w:val="0"/>
                <w:sz w:val="22"/>
              </w:rPr>
              <w:t>倍以上</w:t>
            </w:r>
            <w:r>
              <w:rPr>
                <w:rFonts w:hint="eastAsia" w:ascii="楷体" w:hAnsi="楷体" w:eastAsia="楷体" w:cs="宋体"/>
                <w:kern w:val="0"/>
                <w:sz w:val="22"/>
                <w:lang w:val="en-US" w:eastAsia="zh-CN"/>
              </w:rPr>
              <w:t>3</w:t>
            </w:r>
            <w:r>
              <w:rPr>
                <w:rFonts w:hint="eastAsia" w:ascii="楷体" w:hAnsi="楷体" w:eastAsia="楷体" w:cs="宋体"/>
                <w:kern w:val="0"/>
                <w:sz w:val="22"/>
              </w:rPr>
              <w:t>倍</w:t>
            </w:r>
            <w:r>
              <w:rPr>
                <w:rFonts w:hint="eastAsia" w:ascii="楷体" w:hAnsi="楷体" w:eastAsia="楷体" w:cs="宋体"/>
                <w:kern w:val="0"/>
                <w:sz w:val="22"/>
                <w:lang w:eastAsia="zh-CN"/>
              </w:rPr>
              <w:t>以下</w:t>
            </w:r>
            <w:r>
              <w:rPr>
                <w:rFonts w:hint="eastAsia" w:ascii="楷体" w:hAnsi="楷体" w:eastAsia="楷体" w:cs="宋体"/>
                <w:kern w:val="0"/>
                <w:sz w:val="22"/>
              </w:rPr>
              <w:t>标准罚款</w:t>
            </w:r>
          </w:p>
        </w:tc>
        <w:tc>
          <w:tcPr>
            <w:tcW w:w="195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4" w:lineRule="auto"/>
              <w:jc w:val="center"/>
              <w:rPr>
                <w:rFonts w:hint="eastAsia" w:ascii="楷体" w:hAnsi="楷体" w:eastAsia="楷体" w:cs="宋体"/>
                <w:kern w:val="0"/>
                <w:sz w:val="22"/>
                <w:lang w:val="en-US" w:eastAsia="zh-CN"/>
              </w:rPr>
            </w:pPr>
          </w:p>
        </w:tc>
      </w:tr>
      <w:tr>
        <w:tblPrEx>
          <w:tblCellMar>
            <w:top w:w="0" w:type="dxa"/>
            <w:left w:w="108" w:type="dxa"/>
            <w:bottom w:w="0" w:type="dxa"/>
            <w:right w:w="108" w:type="dxa"/>
          </w:tblCellMar>
        </w:tblPrEx>
        <w:trPr>
          <w:trHeight w:val="1741" w:hRule="atLeast"/>
        </w:trPr>
        <w:tc>
          <w:tcPr>
            <w:tcW w:w="488"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left"/>
              <w:rPr>
                <w:rFonts w:hint="default" w:ascii="楷体" w:hAnsi="楷体" w:eastAsia="楷体" w:cs="宋体"/>
                <w:kern w:val="0"/>
                <w:sz w:val="22"/>
                <w:szCs w:val="22"/>
                <w:lang w:val="en-US" w:eastAsia="zh-CN" w:bidi="ar-SA"/>
              </w:rPr>
            </w:pPr>
            <w:r>
              <w:rPr>
                <w:rFonts w:hint="eastAsia" w:ascii="楷体" w:hAnsi="楷体" w:eastAsia="楷体" w:cs="楷体"/>
                <w:lang w:val="en-US" w:eastAsia="zh-CN"/>
              </w:rPr>
              <w:t>11</w:t>
            </w:r>
          </w:p>
        </w:tc>
        <w:tc>
          <w:tcPr>
            <w:tcW w:w="4337"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both"/>
              <w:rPr>
                <w:rFonts w:hint="eastAsia" w:ascii="楷体" w:hAnsi="楷体" w:eastAsia="楷体" w:cs="宋体"/>
                <w:kern w:val="0"/>
                <w:sz w:val="22"/>
                <w:szCs w:val="22"/>
                <w:lang w:val="en-US" w:eastAsia="zh-CN" w:bidi="ar-SA"/>
              </w:rPr>
            </w:pPr>
            <w:r>
              <w:rPr>
                <w:rFonts w:hint="eastAsia" w:ascii="楷体" w:hAnsi="楷体" w:eastAsia="楷体" w:cs="宋体"/>
                <w:kern w:val="0"/>
                <w:sz w:val="22"/>
              </w:rPr>
              <w:t>参加药品采购投标的投标人以低于成本的报价竞标，或者以欺诈、串通投标、滥用市场支配地位等方式竞标的</w:t>
            </w:r>
          </w:p>
        </w:tc>
        <w:tc>
          <w:tcPr>
            <w:tcW w:w="2385"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both"/>
              <w:rPr>
                <w:rFonts w:hint="eastAsia" w:ascii="楷体" w:hAnsi="楷体" w:eastAsia="楷体" w:cs="宋体"/>
                <w:kern w:val="0"/>
                <w:sz w:val="22"/>
                <w:szCs w:val="22"/>
                <w:lang w:val="en-US" w:eastAsia="zh-CN" w:bidi="ar-SA"/>
              </w:rPr>
            </w:pPr>
            <w:r>
              <w:rPr>
                <w:rFonts w:hint="eastAsia" w:ascii="楷体" w:hAnsi="楷体" w:eastAsia="楷体" w:cs="宋体"/>
                <w:kern w:val="0"/>
                <w:sz w:val="22"/>
              </w:rPr>
              <w:t>《基本医疗卫生与健康促进法》第一百零三条</w:t>
            </w:r>
          </w:p>
        </w:tc>
        <w:tc>
          <w:tcPr>
            <w:tcW w:w="3840"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both"/>
              <w:rPr>
                <w:rFonts w:hint="eastAsia" w:ascii="楷体" w:hAnsi="楷体" w:eastAsia="楷体" w:cs="宋体"/>
                <w:color w:val="auto"/>
                <w:kern w:val="0"/>
                <w:sz w:val="22"/>
                <w:szCs w:val="22"/>
                <w:lang w:val="en-US" w:eastAsia="zh-CN" w:bidi="ar-SA"/>
              </w:rPr>
            </w:pPr>
            <w:r>
              <w:rPr>
                <w:rFonts w:hint="eastAsia" w:ascii="楷体" w:hAnsi="楷体" w:eastAsia="楷体" w:cs="宋体"/>
                <w:color w:val="auto"/>
                <w:kern w:val="0"/>
                <w:sz w:val="22"/>
              </w:rPr>
              <w:t>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4230" w:type="dxa"/>
            <w:tcBorders>
              <w:top w:val="single" w:color="auto" w:sz="4" w:space="0"/>
              <w:left w:val="nil"/>
              <w:bottom w:val="single" w:color="auto" w:sz="4" w:space="0"/>
              <w:right w:val="single" w:color="auto" w:sz="4" w:space="0"/>
            </w:tcBorders>
            <w:vAlign w:val="center"/>
          </w:tcPr>
          <w:p>
            <w:pPr>
              <w:widowControl/>
              <w:spacing w:line="264" w:lineRule="auto"/>
              <w:jc w:val="both"/>
              <w:rPr>
                <w:rFonts w:hint="eastAsia" w:ascii="楷体" w:hAnsi="楷体" w:eastAsia="楷体" w:cs="宋体"/>
                <w:color w:val="auto"/>
                <w:kern w:val="0"/>
                <w:sz w:val="22"/>
                <w:szCs w:val="22"/>
                <w:lang w:val="en-US" w:eastAsia="zh-CN" w:bidi="ar-SA"/>
              </w:rPr>
            </w:pPr>
            <w:r>
              <w:rPr>
                <w:rFonts w:hint="eastAsia" w:ascii="楷体" w:hAnsi="楷体" w:eastAsia="楷体" w:cs="宋体"/>
                <w:color w:val="auto"/>
                <w:kern w:val="0"/>
                <w:sz w:val="22"/>
                <w:lang w:val="en-US" w:eastAsia="zh-CN"/>
              </w:rPr>
              <w:t>提供虚假证明资料、选择性提供材料或采取其他方式弄虚作假，但未对中标结果产生实质影响，或主动配合改正的</w:t>
            </w:r>
          </w:p>
        </w:tc>
        <w:tc>
          <w:tcPr>
            <w:tcW w:w="3855" w:type="dxa"/>
            <w:tcBorders>
              <w:top w:val="single" w:color="auto" w:sz="4" w:space="0"/>
              <w:left w:val="nil"/>
              <w:bottom w:val="single" w:color="auto" w:sz="4" w:space="0"/>
              <w:right w:val="nil"/>
            </w:tcBorders>
            <w:vAlign w:val="center"/>
          </w:tcPr>
          <w:p>
            <w:pPr>
              <w:widowControl/>
              <w:spacing w:line="264" w:lineRule="auto"/>
              <w:jc w:val="both"/>
              <w:rPr>
                <w:rFonts w:hint="eastAsia" w:ascii="楷体" w:hAnsi="楷体" w:eastAsia="楷体" w:cs="宋体"/>
                <w:kern w:val="0"/>
                <w:sz w:val="22"/>
                <w:szCs w:val="22"/>
                <w:lang w:val="en-US" w:eastAsia="zh-CN" w:bidi="ar-SA"/>
              </w:rPr>
            </w:pPr>
            <w:r>
              <w:rPr>
                <w:rFonts w:hint="eastAsia" w:ascii="楷体" w:hAnsi="楷体" w:eastAsia="楷体" w:cs="宋体"/>
                <w:kern w:val="0"/>
                <w:sz w:val="22"/>
                <w:lang w:eastAsia="zh-CN"/>
              </w:rPr>
              <w:t>责令改正，没收违法所得；中标的，中标无效；处中标项目金额千分之五的罚款；对法定代表人、主要负责人、直接负责的主管人员和其他责任人员处对单位罚款数额百分之五的罚款</w:t>
            </w:r>
          </w:p>
        </w:tc>
        <w:tc>
          <w:tcPr>
            <w:tcW w:w="1953" w:type="dxa"/>
            <w:tcBorders>
              <w:top w:val="single" w:color="auto" w:sz="4" w:space="0"/>
              <w:left w:val="single" w:color="auto" w:sz="4" w:space="0"/>
              <w:bottom w:val="single" w:color="auto" w:sz="4" w:space="0"/>
              <w:right w:val="single" w:color="auto" w:sz="4" w:space="0"/>
            </w:tcBorders>
            <w:vAlign w:val="center"/>
          </w:tcPr>
          <w:p>
            <w:pPr>
              <w:widowControl/>
              <w:spacing w:line="264" w:lineRule="auto"/>
              <w:jc w:val="both"/>
              <w:rPr>
                <w:rFonts w:hint="eastAsia" w:ascii="楷体" w:hAnsi="楷体" w:eastAsia="楷体" w:cs="宋体"/>
                <w:kern w:val="0"/>
                <w:sz w:val="22"/>
                <w:szCs w:val="22"/>
                <w:lang w:val="en-US" w:eastAsia="zh-CN" w:bidi="ar-SA"/>
              </w:rPr>
            </w:pPr>
          </w:p>
        </w:tc>
      </w:tr>
      <w:tr>
        <w:tblPrEx>
          <w:tblCellMar>
            <w:top w:w="0" w:type="dxa"/>
            <w:left w:w="108" w:type="dxa"/>
            <w:bottom w:w="0" w:type="dxa"/>
            <w:right w:w="108" w:type="dxa"/>
          </w:tblCellMar>
        </w:tblPrEx>
        <w:trPr>
          <w:trHeight w:val="2034" w:hRule="atLeast"/>
        </w:trPr>
        <w:tc>
          <w:tcPr>
            <w:tcW w:w="488"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left"/>
              <w:rPr>
                <w:rFonts w:hint="eastAsia" w:ascii="楷体" w:hAnsi="楷体" w:eastAsia="楷体" w:cs="宋体"/>
                <w:kern w:val="0"/>
                <w:sz w:val="22"/>
                <w:szCs w:val="22"/>
                <w:lang w:val="en-US" w:eastAsia="zh-CN" w:bidi="ar-SA"/>
              </w:rPr>
            </w:pPr>
          </w:p>
        </w:tc>
        <w:tc>
          <w:tcPr>
            <w:tcW w:w="4337"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both"/>
              <w:rPr>
                <w:rFonts w:hint="eastAsia" w:ascii="楷体" w:hAnsi="楷体" w:eastAsia="楷体" w:cs="宋体"/>
                <w:kern w:val="0"/>
                <w:sz w:val="22"/>
                <w:szCs w:val="22"/>
                <w:lang w:val="en-US" w:eastAsia="zh-CN" w:bidi="ar-SA"/>
              </w:rPr>
            </w:pPr>
          </w:p>
        </w:tc>
        <w:tc>
          <w:tcPr>
            <w:tcW w:w="2385"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both"/>
              <w:rPr>
                <w:rFonts w:hint="eastAsia" w:ascii="楷体" w:hAnsi="楷体" w:eastAsia="楷体" w:cs="宋体"/>
                <w:kern w:val="0"/>
                <w:sz w:val="22"/>
                <w:szCs w:val="22"/>
                <w:lang w:val="en-US" w:eastAsia="zh-CN" w:bidi="ar-SA"/>
              </w:rPr>
            </w:pPr>
          </w:p>
        </w:tc>
        <w:tc>
          <w:tcPr>
            <w:tcW w:w="3840"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both"/>
              <w:rPr>
                <w:rFonts w:hint="eastAsia" w:ascii="楷体" w:hAnsi="楷体" w:eastAsia="楷体" w:cs="宋体"/>
                <w:color w:val="auto"/>
                <w:kern w:val="0"/>
                <w:sz w:val="22"/>
                <w:szCs w:val="22"/>
                <w:lang w:val="en-US" w:eastAsia="zh-CN" w:bidi="ar-SA"/>
              </w:rPr>
            </w:pPr>
          </w:p>
        </w:tc>
        <w:tc>
          <w:tcPr>
            <w:tcW w:w="4230" w:type="dxa"/>
            <w:tcBorders>
              <w:top w:val="single" w:color="auto" w:sz="4" w:space="0"/>
              <w:left w:val="nil"/>
              <w:bottom w:val="single" w:color="auto" w:sz="4" w:space="0"/>
              <w:right w:val="single" w:color="auto" w:sz="4" w:space="0"/>
            </w:tcBorders>
            <w:vAlign w:val="center"/>
          </w:tcPr>
          <w:p>
            <w:pPr>
              <w:widowControl/>
              <w:spacing w:line="264" w:lineRule="auto"/>
              <w:jc w:val="both"/>
              <w:rPr>
                <w:rFonts w:hint="eastAsia" w:ascii="楷体" w:hAnsi="楷体" w:eastAsia="楷体" w:cs="宋体"/>
                <w:color w:val="auto"/>
                <w:kern w:val="0"/>
                <w:sz w:val="22"/>
                <w:szCs w:val="22"/>
                <w:lang w:val="en-US" w:eastAsia="zh-CN" w:bidi="ar-SA"/>
              </w:rPr>
            </w:pPr>
            <w:r>
              <w:rPr>
                <w:rFonts w:hint="eastAsia" w:ascii="楷体" w:hAnsi="楷体" w:eastAsia="楷体" w:cs="宋体"/>
                <w:color w:val="auto"/>
                <w:kern w:val="0"/>
                <w:sz w:val="22"/>
                <w:lang w:val="en-US" w:eastAsia="zh-CN"/>
              </w:rPr>
              <w:t>以低于成本的报价竞标，或以欺诈、串通投标、滥用市场支配地位等方式竞标，扰乱招投标秩序的</w:t>
            </w:r>
          </w:p>
        </w:tc>
        <w:tc>
          <w:tcPr>
            <w:tcW w:w="3855" w:type="dxa"/>
            <w:tcBorders>
              <w:top w:val="single" w:color="auto" w:sz="4" w:space="0"/>
              <w:left w:val="nil"/>
              <w:bottom w:val="single" w:color="auto" w:sz="4" w:space="0"/>
              <w:right w:val="nil"/>
            </w:tcBorders>
            <w:vAlign w:val="center"/>
          </w:tcPr>
          <w:p>
            <w:pPr>
              <w:widowControl/>
              <w:spacing w:line="264" w:lineRule="auto"/>
              <w:jc w:val="both"/>
              <w:rPr>
                <w:rFonts w:hint="eastAsia" w:ascii="楷体" w:hAnsi="楷体" w:eastAsia="楷体" w:cs="宋体"/>
                <w:kern w:val="0"/>
                <w:sz w:val="22"/>
                <w:szCs w:val="22"/>
                <w:lang w:val="en-US" w:eastAsia="zh-CN" w:bidi="ar-SA"/>
              </w:rPr>
            </w:pPr>
            <w:r>
              <w:rPr>
                <w:rFonts w:hint="eastAsia" w:ascii="楷体" w:hAnsi="楷体" w:eastAsia="楷体" w:cs="宋体"/>
                <w:kern w:val="0"/>
                <w:sz w:val="22"/>
                <w:lang w:eastAsia="zh-CN"/>
              </w:rPr>
              <w:t>责令改正，没收违法所得；中标的，中标无效；处中标项目金额千分之七点五的罚款；对法定代表人、主要负责人、直接负责的主管人员和其他责任人员处对单位罚款数额百分之七点五的罚款；取消其两年内参加药品采购投标的资格并予以公告</w:t>
            </w:r>
          </w:p>
        </w:tc>
        <w:tc>
          <w:tcPr>
            <w:tcW w:w="1953" w:type="dxa"/>
            <w:tcBorders>
              <w:left w:val="single" w:color="auto" w:sz="4" w:space="0"/>
              <w:bottom w:val="single" w:color="auto" w:sz="4" w:space="0"/>
              <w:right w:val="single" w:color="auto" w:sz="4" w:space="0"/>
            </w:tcBorders>
            <w:vAlign w:val="center"/>
          </w:tcPr>
          <w:p>
            <w:pPr>
              <w:widowControl/>
              <w:spacing w:line="264" w:lineRule="auto"/>
              <w:jc w:val="both"/>
              <w:rPr>
                <w:rFonts w:hint="eastAsia" w:ascii="楷体" w:hAnsi="楷体" w:eastAsia="楷体" w:cs="宋体"/>
                <w:kern w:val="0"/>
                <w:sz w:val="22"/>
                <w:szCs w:val="22"/>
                <w:lang w:val="en-US" w:eastAsia="zh-CN" w:bidi="ar-SA"/>
              </w:rPr>
            </w:pPr>
          </w:p>
        </w:tc>
      </w:tr>
      <w:tr>
        <w:tblPrEx>
          <w:tblCellMar>
            <w:top w:w="0" w:type="dxa"/>
            <w:left w:w="108" w:type="dxa"/>
            <w:bottom w:w="0" w:type="dxa"/>
            <w:right w:w="108" w:type="dxa"/>
          </w:tblCellMar>
        </w:tblPrEx>
        <w:trPr>
          <w:trHeight w:val="2004" w:hRule="atLeast"/>
        </w:trPr>
        <w:tc>
          <w:tcPr>
            <w:tcW w:w="488"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both"/>
              <w:rPr>
                <w:rFonts w:hint="eastAsia" w:ascii="楷体" w:hAnsi="楷体" w:eastAsia="楷体" w:cs="宋体"/>
                <w:kern w:val="0"/>
                <w:sz w:val="22"/>
                <w:szCs w:val="22"/>
                <w:lang w:val="en-US" w:eastAsia="zh-CN" w:bidi="ar-SA"/>
              </w:rPr>
            </w:pPr>
          </w:p>
        </w:tc>
        <w:tc>
          <w:tcPr>
            <w:tcW w:w="4337"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both"/>
              <w:rPr>
                <w:rFonts w:hint="eastAsia" w:ascii="楷体" w:hAnsi="楷体" w:eastAsia="楷体" w:cs="宋体"/>
                <w:kern w:val="0"/>
                <w:sz w:val="22"/>
                <w:szCs w:val="22"/>
                <w:lang w:val="en-US" w:eastAsia="zh-CN" w:bidi="ar-SA"/>
              </w:rPr>
            </w:pPr>
          </w:p>
        </w:tc>
        <w:tc>
          <w:tcPr>
            <w:tcW w:w="2385"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both"/>
              <w:rPr>
                <w:rFonts w:hint="eastAsia" w:ascii="楷体" w:hAnsi="楷体" w:eastAsia="楷体" w:cs="宋体"/>
                <w:kern w:val="0"/>
                <w:sz w:val="22"/>
                <w:szCs w:val="22"/>
                <w:lang w:val="en-US" w:eastAsia="zh-CN" w:bidi="ar-SA"/>
              </w:rPr>
            </w:pPr>
          </w:p>
        </w:tc>
        <w:tc>
          <w:tcPr>
            <w:tcW w:w="3840"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both"/>
              <w:rPr>
                <w:rFonts w:hint="eastAsia" w:ascii="楷体" w:hAnsi="楷体" w:eastAsia="楷体" w:cs="宋体"/>
                <w:color w:val="auto"/>
                <w:kern w:val="0"/>
                <w:sz w:val="22"/>
                <w:szCs w:val="22"/>
                <w:lang w:val="en-US" w:eastAsia="zh-CN" w:bidi="ar-SA"/>
              </w:rPr>
            </w:pPr>
          </w:p>
        </w:tc>
        <w:tc>
          <w:tcPr>
            <w:tcW w:w="4230" w:type="dxa"/>
            <w:tcBorders>
              <w:top w:val="single" w:color="auto" w:sz="4" w:space="0"/>
              <w:left w:val="nil"/>
              <w:bottom w:val="single" w:color="auto" w:sz="4" w:space="0"/>
              <w:right w:val="single" w:color="auto" w:sz="4" w:space="0"/>
            </w:tcBorders>
            <w:vAlign w:val="center"/>
          </w:tcPr>
          <w:p>
            <w:pPr>
              <w:widowControl/>
              <w:spacing w:line="264" w:lineRule="auto"/>
              <w:jc w:val="both"/>
              <w:rPr>
                <w:rFonts w:hint="eastAsia" w:ascii="楷体" w:hAnsi="楷体" w:eastAsia="楷体" w:cs="宋体"/>
                <w:color w:val="auto"/>
                <w:kern w:val="0"/>
                <w:sz w:val="22"/>
                <w:szCs w:val="22"/>
                <w:lang w:val="en-US" w:eastAsia="zh-CN" w:bidi="ar-SA"/>
              </w:rPr>
            </w:pPr>
            <w:r>
              <w:rPr>
                <w:rFonts w:hint="eastAsia" w:ascii="楷体" w:hAnsi="楷体" w:eastAsia="楷体" w:cs="宋体"/>
                <w:color w:val="auto"/>
                <w:kern w:val="0"/>
                <w:sz w:val="22"/>
                <w:lang w:val="en-US" w:eastAsia="zh-CN"/>
              </w:rPr>
              <w:t>通过提供虚假证明资料或其他方式弄虚作假获得药品中标资格，造成严重影响的，如导致竞争对手丧失中标资格，或导致竞争对手以被迫降低收益的方式获得中标资格等，且拒不改正的</w:t>
            </w:r>
          </w:p>
        </w:tc>
        <w:tc>
          <w:tcPr>
            <w:tcW w:w="3855" w:type="dxa"/>
            <w:tcBorders>
              <w:top w:val="single" w:color="auto" w:sz="4" w:space="0"/>
              <w:left w:val="nil"/>
              <w:bottom w:val="single" w:color="auto" w:sz="4" w:space="0"/>
              <w:right w:val="nil"/>
            </w:tcBorders>
            <w:vAlign w:val="center"/>
          </w:tcPr>
          <w:p>
            <w:pPr>
              <w:widowControl/>
              <w:spacing w:line="264" w:lineRule="auto"/>
              <w:jc w:val="both"/>
              <w:rPr>
                <w:rFonts w:hint="eastAsia" w:ascii="楷体" w:hAnsi="楷体" w:eastAsia="楷体" w:cs="宋体"/>
                <w:kern w:val="0"/>
                <w:sz w:val="22"/>
                <w:szCs w:val="22"/>
                <w:lang w:val="en-US" w:eastAsia="zh-CN" w:bidi="ar-SA"/>
              </w:rPr>
            </w:pPr>
            <w:r>
              <w:rPr>
                <w:rFonts w:hint="eastAsia" w:ascii="楷体" w:hAnsi="楷体" w:eastAsia="楷体" w:cs="宋体"/>
                <w:kern w:val="0"/>
                <w:sz w:val="22"/>
                <w:lang w:eastAsia="zh-CN"/>
              </w:rPr>
              <w:t>责令改正，没收违法所得；中标的，中标无效；处中标项目金额千分之十的罚款；对法定代表人、主要负责人、直接负责的主管人员和其他责任人员处对单位罚款数额百分之十的罚款；取消其三年至五年内参加药品采购投标的资格并予以公告</w:t>
            </w:r>
          </w:p>
        </w:tc>
        <w:tc>
          <w:tcPr>
            <w:tcW w:w="1953" w:type="dxa"/>
            <w:tcBorders>
              <w:left w:val="single" w:color="auto" w:sz="4" w:space="0"/>
              <w:bottom w:val="single" w:color="auto" w:sz="4" w:space="0"/>
              <w:right w:val="single" w:color="auto" w:sz="4" w:space="0"/>
            </w:tcBorders>
            <w:vAlign w:val="center"/>
          </w:tcPr>
          <w:p>
            <w:pPr>
              <w:widowControl/>
              <w:spacing w:line="264" w:lineRule="auto"/>
              <w:jc w:val="both"/>
              <w:rPr>
                <w:rFonts w:hint="eastAsia" w:ascii="楷体" w:hAnsi="楷体" w:eastAsia="楷体" w:cs="宋体"/>
                <w:kern w:val="0"/>
                <w:sz w:val="22"/>
                <w:szCs w:val="22"/>
                <w:lang w:val="en-US" w:eastAsia="zh-CN" w:bidi="ar-SA"/>
              </w:rPr>
            </w:pPr>
          </w:p>
        </w:tc>
      </w:tr>
      <w:tr>
        <w:tblPrEx>
          <w:tblCellMar>
            <w:top w:w="0" w:type="dxa"/>
            <w:left w:w="108" w:type="dxa"/>
            <w:bottom w:w="0" w:type="dxa"/>
            <w:right w:w="108" w:type="dxa"/>
          </w:tblCellMar>
        </w:tblPrEx>
        <w:trPr>
          <w:trHeight w:val="394" w:hRule="atLeast"/>
        </w:trPr>
        <w:tc>
          <w:tcPr>
            <w:tcW w:w="488" w:type="dxa"/>
            <w:vMerge w:val="restart"/>
            <w:tcBorders>
              <w:top w:val="single" w:color="000000" w:sz="4" w:space="0"/>
              <w:left w:val="single" w:color="auto" w:sz="4" w:space="0"/>
              <w:bottom w:val="single" w:color="000000" w:sz="4" w:space="0"/>
              <w:right w:val="single" w:color="auto" w:sz="4" w:space="0"/>
            </w:tcBorders>
            <w:vAlign w:val="center"/>
          </w:tcPr>
          <w:p>
            <w:pPr>
              <w:widowControl/>
              <w:jc w:val="center"/>
              <w:rPr>
                <w:rFonts w:hint="default" w:ascii="楷体" w:hAnsi="楷体" w:eastAsia="楷体" w:cs="宋体"/>
                <w:kern w:val="0"/>
                <w:sz w:val="22"/>
                <w:highlight w:val="none"/>
                <w:lang w:val="en-US" w:eastAsia="zh-CN"/>
              </w:rPr>
            </w:pPr>
            <w:r>
              <w:rPr>
                <w:rFonts w:hint="eastAsia" w:ascii="楷体" w:hAnsi="楷体" w:eastAsia="楷体" w:cs="宋体"/>
                <w:kern w:val="0"/>
                <w:sz w:val="22"/>
                <w:highlight w:val="none"/>
                <w:lang w:val="en-US" w:eastAsia="zh-CN"/>
              </w:rPr>
              <w:t>12</w:t>
            </w:r>
          </w:p>
        </w:tc>
        <w:tc>
          <w:tcPr>
            <w:tcW w:w="4337"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left"/>
              <w:rPr>
                <w:rFonts w:hint="eastAsia" w:ascii="楷体" w:hAnsi="楷体" w:eastAsia="楷体" w:cs="宋体"/>
                <w:kern w:val="0"/>
                <w:sz w:val="22"/>
                <w:lang w:eastAsia="zh-CN"/>
              </w:rPr>
            </w:pPr>
            <w:r>
              <w:rPr>
                <w:rFonts w:hint="eastAsia" w:ascii="楷体" w:hAnsi="楷体" w:eastAsia="楷体" w:cs="楷体"/>
                <w:bCs/>
                <w:kern w:val="0"/>
                <w:sz w:val="22"/>
                <w:szCs w:val="22"/>
                <w:highlight w:val="none"/>
                <w:vertAlign w:val="baseline"/>
                <w:lang w:eastAsia="zh-CN"/>
              </w:rPr>
              <w:t>拒绝、阻挠监督人员进行监督检查的；拒绝或者无正当理由拖延提供与监督事项有关的资料，或者转移、隐匿、损毁被封存资料的；不按要求报送书面材料或者作出说明，隐瞒事实真相，出具伪证或者隐匿、毁灭证据的</w:t>
            </w:r>
          </w:p>
        </w:tc>
        <w:tc>
          <w:tcPr>
            <w:tcW w:w="2385"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left"/>
              <w:rPr>
                <w:rFonts w:hint="eastAsia" w:ascii="楷体" w:hAnsi="楷体" w:eastAsia="楷体" w:cs="宋体"/>
                <w:kern w:val="0"/>
                <w:sz w:val="22"/>
                <w:lang w:eastAsia="zh-CN"/>
              </w:rPr>
            </w:pPr>
            <w:r>
              <w:rPr>
                <w:rFonts w:hint="eastAsia" w:ascii="楷体" w:hAnsi="楷体" w:eastAsia="楷体" w:cs="宋体"/>
                <w:kern w:val="0"/>
                <w:sz w:val="22"/>
                <w:lang w:eastAsia="zh-CN"/>
              </w:rPr>
              <w:t>《</w:t>
            </w:r>
            <w:r>
              <w:rPr>
                <w:rFonts w:hint="eastAsia" w:ascii="楷体" w:hAnsi="楷体" w:eastAsia="楷体" w:cs="宋体"/>
                <w:kern w:val="0"/>
                <w:sz w:val="22"/>
              </w:rPr>
              <w:t>广东省</w:t>
            </w:r>
            <w:r>
              <w:rPr>
                <w:rFonts w:hint="eastAsia" w:ascii="楷体" w:hAnsi="楷体" w:eastAsia="楷体" w:cs="宋体"/>
                <w:kern w:val="0"/>
                <w:sz w:val="22"/>
                <w:lang w:eastAsia="zh-CN"/>
              </w:rPr>
              <w:t>社会保险基金监督条例》第六十八条</w:t>
            </w:r>
          </w:p>
        </w:tc>
        <w:tc>
          <w:tcPr>
            <w:tcW w:w="3840"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64" w:lineRule="auto"/>
              <w:rPr>
                <w:rFonts w:ascii="楷体" w:hAnsi="楷体" w:eastAsia="楷体" w:cs="宋体"/>
                <w:color w:val="auto"/>
                <w:kern w:val="0"/>
                <w:sz w:val="22"/>
                <w:highlight w:val="none"/>
              </w:rPr>
            </w:pPr>
            <w:r>
              <w:rPr>
                <w:rFonts w:hint="eastAsia" w:ascii="楷体" w:hAnsi="楷体" w:eastAsia="楷体" w:cs="楷体"/>
                <w:bCs/>
                <w:color w:val="auto"/>
                <w:kern w:val="0"/>
                <w:sz w:val="22"/>
                <w:szCs w:val="22"/>
                <w:highlight w:val="none"/>
                <w:vertAlign w:val="baseline"/>
                <w:lang w:eastAsia="zh-CN"/>
              </w:rPr>
              <w:t>责令限期改正，处二千元以上二万元以下的罚款</w:t>
            </w:r>
          </w:p>
        </w:tc>
        <w:tc>
          <w:tcPr>
            <w:tcW w:w="4230" w:type="dxa"/>
            <w:tcBorders>
              <w:top w:val="single" w:color="auto" w:sz="4" w:space="0"/>
              <w:left w:val="nil"/>
              <w:bottom w:val="single" w:color="auto" w:sz="4" w:space="0"/>
              <w:right w:val="single" w:color="auto" w:sz="4" w:space="0"/>
            </w:tcBorders>
            <w:vAlign w:val="center"/>
          </w:tcPr>
          <w:p>
            <w:pPr>
              <w:widowControl/>
              <w:spacing w:line="264" w:lineRule="auto"/>
              <w:jc w:val="both"/>
              <w:rPr>
                <w:rFonts w:hint="eastAsia" w:ascii="楷体" w:hAnsi="楷体" w:eastAsia="楷体" w:cs="宋体"/>
                <w:color w:val="auto"/>
                <w:kern w:val="0"/>
                <w:sz w:val="22"/>
                <w:szCs w:val="22"/>
                <w:lang w:val="en-US" w:eastAsia="zh-CN" w:bidi="ar-SA"/>
              </w:rPr>
            </w:pPr>
            <w:r>
              <w:rPr>
                <w:rFonts w:hint="eastAsia" w:ascii="楷体" w:hAnsi="楷体" w:eastAsia="楷体" w:cs="楷体"/>
                <w:bCs/>
                <w:color w:val="auto"/>
                <w:kern w:val="0"/>
                <w:sz w:val="22"/>
                <w:szCs w:val="22"/>
                <w:highlight w:val="none"/>
                <w:vertAlign w:val="baseline"/>
                <w:lang w:eastAsia="zh-CN"/>
              </w:rPr>
              <w:t>拒绝或者无正当理由拖延提供与监督事项有关的资料，不按要求报送书面材料或者作出说明</w:t>
            </w:r>
          </w:p>
        </w:tc>
        <w:tc>
          <w:tcPr>
            <w:tcW w:w="3855" w:type="dxa"/>
            <w:tcBorders>
              <w:top w:val="single" w:color="auto" w:sz="4" w:space="0"/>
              <w:left w:val="nil"/>
              <w:bottom w:val="single" w:color="auto" w:sz="4" w:space="0"/>
              <w:right w:val="nil"/>
            </w:tcBorders>
            <w:vAlign w:val="center"/>
          </w:tcPr>
          <w:p>
            <w:pPr>
              <w:widowControl/>
              <w:spacing w:line="264" w:lineRule="auto"/>
              <w:jc w:val="both"/>
              <w:rPr>
                <w:rFonts w:hint="eastAsia" w:ascii="楷体" w:hAnsi="楷体" w:eastAsia="楷体" w:cs="宋体"/>
                <w:kern w:val="0"/>
                <w:sz w:val="22"/>
              </w:rPr>
            </w:pPr>
            <w:r>
              <w:rPr>
                <w:rFonts w:hint="eastAsia" w:ascii="楷体" w:hAnsi="楷体" w:eastAsia="楷体" w:cs="宋体"/>
                <w:kern w:val="0"/>
                <w:sz w:val="22"/>
                <w:highlight w:val="none"/>
              </w:rPr>
              <w:t>按照</w:t>
            </w:r>
            <w:r>
              <w:rPr>
                <w:rFonts w:hint="eastAsia" w:ascii="楷体" w:hAnsi="楷体" w:eastAsia="楷体" w:cs="宋体"/>
                <w:kern w:val="0"/>
                <w:sz w:val="22"/>
                <w:highlight w:val="none"/>
                <w:lang w:val="en-US" w:eastAsia="zh-CN"/>
              </w:rPr>
              <w:t>2千</w:t>
            </w:r>
            <w:r>
              <w:rPr>
                <w:rFonts w:hint="eastAsia" w:ascii="楷体" w:hAnsi="楷体" w:eastAsia="楷体" w:cs="宋体"/>
                <w:kern w:val="0"/>
                <w:sz w:val="22"/>
                <w:highlight w:val="none"/>
              </w:rPr>
              <w:t>元以上</w:t>
            </w:r>
            <w:r>
              <w:rPr>
                <w:rFonts w:hint="eastAsia" w:ascii="楷体" w:hAnsi="楷体" w:eastAsia="楷体" w:cs="宋体"/>
                <w:kern w:val="0"/>
                <w:sz w:val="22"/>
                <w:highlight w:val="none"/>
                <w:lang w:val="en-US" w:eastAsia="zh-CN"/>
              </w:rPr>
              <w:t>5千</w:t>
            </w:r>
            <w:r>
              <w:rPr>
                <w:rFonts w:hint="eastAsia" w:ascii="楷体" w:hAnsi="楷体" w:eastAsia="楷体" w:cs="宋体"/>
                <w:kern w:val="0"/>
                <w:sz w:val="22"/>
                <w:highlight w:val="none"/>
              </w:rPr>
              <w:t>元</w:t>
            </w:r>
            <w:r>
              <w:rPr>
                <w:rFonts w:hint="eastAsia" w:ascii="楷体" w:hAnsi="楷体" w:eastAsia="楷体" w:cs="宋体"/>
                <w:kern w:val="0"/>
                <w:sz w:val="22"/>
                <w:highlight w:val="none"/>
                <w:lang w:eastAsia="zh-CN"/>
              </w:rPr>
              <w:t>以下</w:t>
            </w:r>
            <w:r>
              <w:rPr>
                <w:rFonts w:hint="eastAsia" w:ascii="楷体" w:hAnsi="楷体" w:eastAsia="楷体" w:cs="宋体"/>
                <w:kern w:val="0"/>
                <w:sz w:val="22"/>
                <w:highlight w:val="none"/>
              </w:rPr>
              <w:t>标准罚款</w:t>
            </w:r>
          </w:p>
        </w:tc>
        <w:tc>
          <w:tcPr>
            <w:tcW w:w="195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宋体"/>
                <w:kern w:val="0"/>
                <w:sz w:val="22"/>
                <w:lang w:eastAsia="zh-CN"/>
              </w:rPr>
            </w:pPr>
          </w:p>
        </w:tc>
      </w:tr>
      <w:tr>
        <w:tblPrEx>
          <w:tblCellMar>
            <w:top w:w="0" w:type="dxa"/>
            <w:left w:w="108" w:type="dxa"/>
            <w:bottom w:w="0" w:type="dxa"/>
            <w:right w:w="108" w:type="dxa"/>
          </w:tblCellMar>
        </w:tblPrEx>
        <w:trPr>
          <w:trHeight w:val="1323" w:hRule="atLeast"/>
        </w:trPr>
        <w:tc>
          <w:tcPr>
            <w:tcW w:w="488" w:type="dxa"/>
            <w:vMerge w:val="continue"/>
            <w:tcBorders>
              <w:top w:val="single" w:color="000000" w:sz="4" w:space="0"/>
              <w:left w:val="single" w:color="auto" w:sz="4" w:space="0"/>
              <w:bottom w:val="single" w:color="000000" w:sz="4" w:space="0"/>
              <w:right w:val="single" w:color="auto" w:sz="4" w:space="0"/>
            </w:tcBorders>
            <w:vAlign w:val="center"/>
          </w:tcPr>
          <w:p>
            <w:pPr>
              <w:widowControl/>
              <w:jc w:val="center"/>
              <w:rPr>
                <w:rFonts w:hint="eastAsia" w:ascii="楷体" w:hAnsi="楷体" w:eastAsia="楷体" w:cs="宋体"/>
                <w:kern w:val="0"/>
                <w:sz w:val="22"/>
                <w:highlight w:val="none"/>
                <w:lang w:val="en-US" w:eastAsia="zh-CN"/>
              </w:rPr>
            </w:pPr>
          </w:p>
        </w:tc>
        <w:tc>
          <w:tcPr>
            <w:tcW w:w="4337"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center"/>
              <w:rPr>
                <w:rFonts w:hint="eastAsia" w:ascii="楷体" w:hAnsi="楷体" w:eastAsia="楷体" w:cs="宋体"/>
                <w:kern w:val="0"/>
                <w:sz w:val="22"/>
                <w:lang w:eastAsia="zh-CN"/>
              </w:rPr>
            </w:pPr>
          </w:p>
        </w:tc>
        <w:tc>
          <w:tcPr>
            <w:tcW w:w="2385"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left"/>
              <w:rPr>
                <w:rFonts w:hint="eastAsia" w:ascii="楷体" w:hAnsi="楷体" w:eastAsia="楷体" w:cs="宋体"/>
                <w:kern w:val="0"/>
                <w:sz w:val="22"/>
                <w:lang w:eastAsia="zh-CN"/>
              </w:rPr>
            </w:pPr>
          </w:p>
        </w:tc>
        <w:tc>
          <w:tcPr>
            <w:tcW w:w="3840"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rPr>
                <w:rFonts w:ascii="楷体" w:hAnsi="楷体" w:eastAsia="楷体" w:cs="宋体"/>
                <w:color w:val="auto"/>
                <w:kern w:val="0"/>
                <w:sz w:val="22"/>
                <w:highlight w:val="none"/>
              </w:rPr>
            </w:pPr>
          </w:p>
        </w:tc>
        <w:tc>
          <w:tcPr>
            <w:tcW w:w="4230" w:type="dxa"/>
            <w:tcBorders>
              <w:top w:val="single" w:color="auto" w:sz="4" w:space="0"/>
              <w:left w:val="nil"/>
              <w:bottom w:val="single" w:color="auto" w:sz="4" w:space="0"/>
              <w:right w:val="single" w:color="auto" w:sz="4" w:space="0"/>
            </w:tcBorders>
            <w:vAlign w:val="center"/>
          </w:tcPr>
          <w:p>
            <w:pPr>
              <w:widowControl/>
              <w:spacing w:line="264" w:lineRule="auto"/>
              <w:jc w:val="both"/>
              <w:rPr>
                <w:rFonts w:hint="eastAsia" w:ascii="楷体" w:hAnsi="楷体" w:eastAsia="楷体" w:cs="宋体"/>
                <w:color w:val="auto"/>
                <w:kern w:val="0"/>
                <w:sz w:val="22"/>
                <w:szCs w:val="22"/>
                <w:lang w:val="en-US" w:eastAsia="zh-CN" w:bidi="ar-SA"/>
              </w:rPr>
            </w:pPr>
            <w:r>
              <w:rPr>
                <w:rFonts w:hint="eastAsia" w:ascii="楷体" w:hAnsi="楷体" w:eastAsia="楷体" w:cs="楷体"/>
                <w:bCs/>
                <w:color w:val="auto"/>
                <w:kern w:val="0"/>
                <w:sz w:val="22"/>
                <w:szCs w:val="22"/>
                <w:highlight w:val="none"/>
                <w:vertAlign w:val="baseline"/>
                <w:lang w:eastAsia="zh-CN"/>
              </w:rPr>
              <w:t>转移、隐匿、损毁被封存资料，隐瞒事实真相，出具伪证或者隐匿、毁灭证据</w:t>
            </w:r>
          </w:p>
        </w:tc>
        <w:tc>
          <w:tcPr>
            <w:tcW w:w="3855" w:type="dxa"/>
            <w:tcBorders>
              <w:top w:val="single" w:color="auto" w:sz="4" w:space="0"/>
              <w:left w:val="nil"/>
              <w:bottom w:val="single" w:color="auto" w:sz="4" w:space="0"/>
              <w:right w:val="nil"/>
            </w:tcBorders>
            <w:vAlign w:val="center"/>
          </w:tcPr>
          <w:p>
            <w:pPr>
              <w:widowControl/>
              <w:spacing w:line="264" w:lineRule="auto"/>
              <w:jc w:val="both"/>
              <w:rPr>
                <w:rFonts w:hint="eastAsia" w:ascii="楷体" w:hAnsi="楷体" w:eastAsia="楷体" w:cs="宋体"/>
                <w:kern w:val="0"/>
                <w:sz w:val="22"/>
              </w:rPr>
            </w:pPr>
            <w:r>
              <w:rPr>
                <w:rFonts w:hint="eastAsia" w:ascii="楷体" w:hAnsi="楷体" w:eastAsia="楷体" w:cs="宋体"/>
                <w:kern w:val="0"/>
                <w:sz w:val="22"/>
                <w:highlight w:val="none"/>
              </w:rPr>
              <w:t>按照</w:t>
            </w:r>
            <w:r>
              <w:rPr>
                <w:rFonts w:hint="eastAsia" w:ascii="楷体" w:hAnsi="楷体" w:eastAsia="楷体" w:cs="宋体"/>
                <w:kern w:val="0"/>
                <w:sz w:val="22"/>
                <w:highlight w:val="none"/>
                <w:lang w:val="en-US" w:eastAsia="zh-CN"/>
              </w:rPr>
              <w:t>5千</w:t>
            </w:r>
            <w:r>
              <w:rPr>
                <w:rFonts w:hint="eastAsia" w:ascii="楷体" w:hAnsi="楷体" w:eastAsia="楷体" w:cs="宋体"/>
                <w:kern w:val="0"/>
                <w:sz w:val="22"/>
                <w:highlight w:val="none"/>
              </w:rPr>
              <w:t>元以上</w:t>
            </w:r>
            <w:r>
              <w:rPr>
                <w:rFonts w:hint="eastAsia" w:ascii="楷体" w:hAnsi="楷体" w:eastAsia="楷体" w:cs="宋体"/>
                <w:kern w:val="0"/>
                <w:sz w:val="22"/>
                <w:highlight w:val="none"/>
                <w:lang w:val="en-US" w:eastAsia="zh-CN"/>
              </w:rPr>
              <w:t>1万</w:t>
            </w:r>
            <w:r>
              <w:rPr>
                <w:rFonts w:hint="eastAsia" w:ascii="楷体" w:hAnsi="楷体" w:eastAsia="楷体" w:cs="宋体"/>
                <w:kern w:val="0"/>
                <w:sz w:val="22"/>
                <w:highlight w:val="none"/>
              </w:rPr>
              <w:t>元</w:t>
            </w:r>
            <w:r>
              <w:rPr>
                <w:rFonts w:hint="eastAsia" w:ascii="楷体" w:hAnsi="楷体" w:eastAsia="楷体" w:cs="宋体"/>
                <w:kern w:val="0"/>
                <w:sz w:val="22"/>
                <w:highlight w:val="none"/>
                <w:lang w:eastAsia="zh-CN"/>
              </w:rPr>
              <w:t>以下</w:t>
            </w:r>
            <w:r>
              <w:rPr>
                <w:rFonts w:hint="eastAsia" w:ascii="楷体" w:hAnsi="楷体" w:eastAsia="楷体" w:cs="宋体"/>
                <w:kern w:val="0"/>
                <w:sz w:val="22"/>
                <w:highlight w:val="none"/>
              </w:rPr>
              <w:t>标准罚款</w:t>
            </w:r>
          </w:p>
        </w:tc>
        <w:tc>
          <w:tcPr>
            <w:tcW w:w="19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宋体"/>
                <w:kern w:val="0"/>
                <w:sz w:val="22"/>
                <w:lang w:eastAsia="zh-CN"/>
              </w:rPr>
            </w:pPr>
          </w:p>
        </w:tc>
      </w:tr>
      <w:tr>
        <w:tblPrEx>
          <w:tblCellMar>
            <w:top w:w="0" w:type="dxa"/>
            <w:left w:w="108" w:type="dxa"/>
            <w:bottom w:w="0" w:type="dxa"/>
            <w:right w:w="108" w:type="dxa"/>
          </w:tblCellMar>
        </w:tblPrEx>
        <w:trPr>
          <w:trHeight w:val="914" w:hRule="atLeast"/>
        </w:trPr>
        <w:tc>
          <w:tcPr>
            <w:tcW w:w="488" w:type="dxa"/>
            <w:vMerge w:val="continue"/>
            <w:tcBorders>
              <w:top w:val="single" w:color="000000" w:sz="4" w:space="0"/>
              <w:left w:val="single" w:color="auto" w:sz="4" w:space="0"/>
              <w:bottom w:val="single" w:color="000000" w:sz="4" w:space="0"/>
              <w:right w:val="single" w:color="auto" w:sz="4" w:space="0"/>
            </w:tcBorders>
            <w:vAlign w:val="center"/>
          </w:tcPr>
          <w:p>
            <w:pPr>
              <w:widowControl/>
              <w:jc w:val="center"/>
              <w:rPr>
                <w:rFonts w:hint="eastAsia" w:ascii="楷体" w:hAnsi="楷体" w:eastAsia="楷体" w:cs="宋体"/>
                <w:kern w:val="0"/>
                <w:sz w:val="22"/>
                <w:highlight w:val="none"/>
                <w:lang w:val="en-US" w:eastAsia="zh-CN"/>
              </w:rPr>
            </w:pPr>
          </w:p>
        </w:tc>
        <w:tc>
          <w:tcPr>
            <w:tcW w:w="4337"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center"/>
              <w:rPr>
                <w:rFonts w:hint="eastAsia" w:ascii="楷体" w:hAnsi="楷体" w:eastAsia="楷体" w:cs="宋体"/>
                <w:kern w:val="0"/>
                <w:sz w:val="22"/>
                <w:lang w:eastAsia="zh-CN"/>
              </w:rPr>
            </w:pPr>
          </w:p>
        </w:tc>
        <w:tc>
          <w:tcPr>
            <w:tcW w:w="2385"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jc w:val="left"/>
              <w:rPr>
                <w:rFonts w:hint="eastAsia" w:ascii="楷体" w:hAnsi="楷体" w:eastAsia="楷体" w:cs="宋体"/>
                <w:kern w:val="0"/>
                <w:sz w:val="22"/>
                <w:lang w:eastAsia="zh-CN"/>
              </w:rPr>
            </w:pPr>
          </w:p>
        </w:tc>
        <w:tc>
          <w:tcPr>
            <w:tcW w:w="3840" w:type="dxa"/>
            <w:vMerge w:val="continue"/>
            <w:tcBorders>
              <w:top w:val="single" w:color="000000" w:sz="4" w:space="0"/>
              <w:left w:val="single" w:color="auto" w:sz="4" w:space="0"/>
              <w:bottom w:val="single" w:color="000000" w:sz="4" w:space="0"/>
              <w:right w:val="single" w:color="auto" w:sz="4" w:space="0"/>
            </w:tcBorders>
            <w:vAlign w:val="center"/>
          </w:tcPr>
          <w:p>
            <w:pPr>
              <w:widowControl/>
              <w:spacing w:line="264" w:lineRule="auto"/>
              <w:rPr>
                <w:rFonts w:ascii="楷体" w:hAnsi="楷体" w:eastAsia="楷体" w:cs="宋体"/>
                <w:color w:val="auto"/>
                <w:kern w:val="0"/>
                <w:sz w:val="22"/>
                <w:highlight w:val="none"/>
              </w:rPr>
            </w:pPr>
          </w:p>
        </w:tc>
        <w:tc>
          <w:tcPr>
            <w:tcW w:w="4230" w:type="dxa"/>
            <w:tcBorders>
              <w:top w:val="single" w:color="auto" w:sz="4" w:space="0"/>
              <w:left w:val="nil"/>
              <w:bottom w:val="single" w:color="auto" w:sz="4" w:space="0"/>
              <w:right w:val="single" w:color="auto" w:sz="4" w:space="0"/>
            </w:tcBorders>
            <w:vAlign w:val="center"/>
          </w:tcPr>
          <w:p>
            <w:pPr>
              <w:widowControl/>
              <w:spacing w:line="264" w:lineRule="auto"/>
              <w:jc w:val="both"/>
              <w:rPr>
                <w:rFonts w:hint="eastAsia" w:ascii="楷体" w:hAnsi="楷体" w:eastAsia="楷体" w:cs="宋体"/>
                <w:color w:val="auto"/>
                <w:kern w:val="0"/>
                <w:sz w:val="22"/>
                <w:szCs w:val="22"/>
                <w:lang w:val="en-US" w:eastAsia="zh-CN" w:bidi="ar-SA"/>
              </w:rPr>
            </w:pPr>
            <w:r>
              <w:rPr>
                <w:rFonts w:hint="eastAsia" w:ascii="楷体" w:hAnsi="楷体" w:eastAsia="楷体" w:cs="楷体"/>
                <w:bCs/>
                <w:color w:val="auto"/>
                <w:kern w:val="0"/>
                <w:sz w:val="22"/>
                <w:szCs w:val="22"/>
                <w:highlight w:val="none"/>
                <w:vertAlign w:val="baseline"/>
                <w:lang w:eastAsia="zh-CN"/>
              </w:rPr>
              <w:t>拒绝、阻挠监督人员进行监督检查</w:t>
            </w:r>
          </w:p>
        </w:tc>
        <w:tc>
          <w:tcPr>
            <w:tcW w:w="3855" w:type="dxa"/>
            <w:tcBorders>
              <w:top w:val="single" w:color="auto" w:sz="4" w:space="0"/>
              <w:left w:val="nil"/>
              <w:bottom w:val="single" w:color="auto" w:sz="4" w:space="0"/>
              <w:right w:val="nil"/>
            </w:tcBorders>
            <w:vAlign w:val="center"/>
          </w:tcPr>
          <w:p>
            <w:pPr>
              <w:widowControl/>
              <w:spacing w:line="264" w:lineRule="auto"/>
              <w:jc w:val="both"/>
              <w:rPr>
                <w:rFonts w:hint="eastAsia" w:ascii="楷体" w:hAnsi="楷体" w:eastAsia="楷体" w:cs="宋体"/>
                <w:kern w:val="0"/>
                <w:sz w:val="22"/>
              </w:rPr>
            </w:pPr>
            <w:r>
              <w:rPr>
                <w:rFonts w:hint="eastAsia" w:ascii="楷体" w:hAnsi="楷体" w:eastAsia="楷体" w:cs="宋体"/>
                <w:kern w:val="0"/>
                <w:sz w:val="22"/>
                <w:highlight w:val="none"/>
              </w:rPr>
              <w:t>按照</w:t>
            </w:r>
            <w:r>
              <w:rPr>
                <w:rFonts w:hint="eastAsia" w:ascii="楷体" w:hAnsi="楷体" w:eastAsia="楷体" w:cs="宋体"/>
                <w:kern w:val="0"/>
                <w:sz w:val="22"/>
                <w:highlight w:val="none"/>
                <w:lang w:val="en-US" w:eastAsia="zh-CN"/>
              </w:rPr>
              <w:t>1万</w:t>
            </w:r>
            <w:r>
              <w:rPr>
                <w:rFonts w:hint="eastAsia" w:ascii="楷体" w:hAnsi="楷体" w:eastAsia="楷体" w:cs="宋体"/>
                <w:kern w:val="0"/>
                <w:sz w:val="22"/>
                <w:highlight w:val="none"/>
              </w:rPr>
              <w:t>元以上2</w:t>
            </w:r>
            <w:r>
              <w:rPr>
                <w:rFonts w:hint="eastAsia" w:ascii="楷体" w:hAnsi="楷体" w:eastAsia="楷体" w:cs="宋体"/>
                <w:kern w:val="0"/>
                <w:sz w:val="22"/>
                <w:highlight w:val="none"/>
                <w:lang w:eastAsia="zh-CN"/>
              </w:rPr>
              <w:t>万</w:t>
            </w:r>
            <w:r>
              <w:rPr>
                <w:rFonts w:hint="eastAsia" w:ascii="楷体" w:hAnsi="楷体" w:eastAsia="楷体" w:cs="宋体"/>
                <w:kern w:val="0"/>
                <w:sz w:val="22"/>
                <w:highlight w:val="none"/>
              </w:rPr>
              <w:t>元以下标准罚款</w:t>
            </w:r>
          </w:p>
        </w:tc>
        <w:tc>
          <w:tcPr>
            <w:tcW w:w="19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宋体"/>
                <w:kern w:val="0"/>
                <w:sz w:val="22"/>
                <w:lang w:eastAsia="zh-CN"/>
              </w:rPr>
            </w:pPr>
          </w:p>
        </w:tc>
      </w:tr>
    </w:tbl>
    <w:p>
      <w:pPr>
        <w:widowControl/>
        <w:spacing w:line="264" w:lineRule="auto"/>
        <w:jc w:val="left"/>
        <w:rPr>
          <w:b w:val="0"/>
          <w:bCs w:val="0"/>
          <w:sz w:val="32"/>
          <w:szCs w:val="32"/>
        </w:rPr>
        <w:sectPr>
          <w:pgSz w:w="23757" w:h="16783" w:orient="landscape"/>
          <w:pgMar w:top="1800" w:right="1440" w:bottom="1800" w:left="1440" w:header="851" w:footer="992" w:gutter="0"/>
          <w:pgNumType w:fmt="decimal"/>
          <w:cols w:space="425" w:num="1"/>
          <w:docGrid w:type="lines" w:linePitch="312" w:charSpace="0"/>
        </w:sectPr>
      </w:pPr>
      <w:r>
        <w:rPr>
          <w:rFonts w:hint="eastAsia" w:ascii="楷体" w:hAnsi="楷体" w:eastAsia="楷体" w:cs="宋体"/>
          <w:kern w:val="0"/>
          <w:sz w:val="22"/>
          <w:lang w:eastAsia="zh-CN"/>
        </w:rPr>
        <w:t>说明：以上《条例》指的是《医疗保障基金使用监督管理条例》</w:t>
      </w:r>
    </w:p>
    <w:p>
      <w:pPr>
        <w:pStyle w:val="2"/>
        <w:spacing w:after="0"/>
      </w:pPr>
    </w:p>
    <w:sectPr>
      <w:pgSz w:w="11850" w:h="16783"/>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CF9E1C"/>
    <w:multiLevelType w:val="singleLevel"/>
    <w:tmpl w:val="7ACF9E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A09F8"/>
    <w:rsid w:val="1F236B51"/>
    <w:rsid w:val="294D4C49"/>
    <w:rsid w:val="2BB27835"/>
    <w:rsid w:val="35D73B83"/>
    <w:rsid w:val="3AD7284F"/>
    <w:rsid w:val="5ECA09F8"/>
    <w:rsid w:val="651E622A"/>
    <w:rsid w:val="69E75118"/>
    <w:rsid w:val="6D0815D8"/>
    <w:rsid w:val="7DE03EC6"/>
    <w:rsid w:val="7EDA4319"/>
    <w:rsid w:val="7FF34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after="200" w:line="276" w:lineRule="auto"/>
    </w:pPr>
    <w:rPr>
      <w:rFonts w:ascii="宋体" w:hAnsi="宋体" w:eastAsia="宋体" w:cs="宋体"/>
      <w:sz w:val="22"/>
      <w:szCs w:val="22"/>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中山市医疗保障局</Company>
  <Pages>1</Pages>
  <Words>0</Words>
  <Characters>0</Characters>
  <Lines>0</Lines>
  <Paragraphs>0</Paragraphs>
  <TotalTime>62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2021-08-02T10:07:00Z</dcterms:created>
  <dc:creator>李剑飞</dc:creator>
  <cp:lastModifiedBy>greatwall</cp:lastModifiedBy>
  <cp:lastPrinted>2021-08-03T15:25:00Z</cp:lastPrinted>
  <dcterms:modified xsi:type="dcterms:W3CDTF">2024-08-23T11:57:29Z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