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附件9-1：</w:t>
      </w: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56"/>
          <w:szCs w:val="5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52"/>
          <w:szCs w:val="52"/>
          <w:lang w:val="en-US" w:eastAsia="zh-CN" w:bidi="ar"/>
        </w:rPr>
        <w:t>中山市农村公厕等级评定报告</w:t>
      </w:r>
    </w:p>
    <w:p>
      <w:pPr>
        <w:pStyle w:val="3"/>
        <w:rPr>
          <w:rFonts w:hint="eastAsia" w:ascii="黑体" w:hAnsi="黑体" w:eastAsia="黑体" w:cs="方正小标宋简体"/>
          <w:color w:val="auto"/>
          <w:kern w:val="0"/>
          <w:sz w:val="56"/>
          <w:szCs w:val="56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textAlignment w:val="auto"/>
        <w:rPr>
          <w:rFonts w:hint="eastAsia" w:ascii="仿宋_GB2312" w:hAnsi="Calibri" w:eastAsia="仿宋_GB2312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textAlignment w:val="auto"/>
        <w:rPr>
          <w:rFonts w:hint="eastAsia" w:ascii="仿宋_GB2312" w:hAnsi="Calibri" w:eastAsia="仿宋_GB2312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公厕名称：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公厕地址：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计划建设等级：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2240" w:firstLineChars="7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评定等级：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1280" w:firstLineChars="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right="0" w:rightChars="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镇街主管部门：（公章）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所在村居：（公章）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1280" w:firstLineChars="400"/>
        <w:textAlignment w:val="auto"/>
        <w:rPr>
          <w:rFonts w:hint="eastAsia" w:ascii="仿宋_GB2312" w:cs="黑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0" w:leftChars="0" w:right="0" w:rightChars="0" w:firstLine="1280" w:firstLineChars="400"/>
        <w:textAlignment w:val="auto"/>
        <w:rPr>
          <w:rFonts w:hint="eastAsia" w:ascii="仿宋_GB2312" w:cs="黑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  <w:t>填报说明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认定时需要对照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 w:bidi="ar"/>
        </w:rPr>
        <w:t>《中山市农村公厕等级判定记录表》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逐项进行判定，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勾选合格或不合格。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在评定过程中若发现不达标的内容，需填写整改意见，进行整改落实，并重新判定，确定整改达标后再行上报。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2、需附公厕建设前、中、后照片。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3、总体评价是对公厕选址、环境协调度、工程质量和公厕效益等进行评价。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4、评定结论是对公厕达标等级进行认定。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5、验收合格后，各镇街评定组进行签名确认。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6、本文规定未尽事项参照《广东省农村公厕建设指引》执行。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 w:firstLine="800" w:firstLineChars="200"/>
        <w:jc w:val="center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 w:firstLine="800" w:firstLineChars="200"/>
        <w:jc w:val="center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 w:firstLine="800" w:firstLineChars="200"/>
        <w:jc w:val="center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 w:firstLine="800" w:firstLineChars="200"/>
        <w:jc w:val="center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574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方正小标宋简体"/>
          <w:color w:val="auto"/>
          <w:kern w:val="0"/>
          <w:sz w:val="40"/>
          <w:szCs w:val="40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中山市农村公厕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等级判定表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00" w:lineRule="exact"/>
        <w:ind w:left="136" w:leftChars="0" w:right="0" w:rightChars="0" w:firstLine="0" w:firstLineChars="0"/>
        <w:jc w:val="left"/>
        <w:textAlignment w:val="auto"/>
        <w:outlineLvl w:val="1"/>
        <w:rPr>
          <w:rFonts w:hint="eastAsia"/>
          <w:color w:val="auto"/>
          <w:lang w:val="en-US"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269"/>
        <w:gridCol w:w="1497"/>
        <w:gridCol w:w="117"/>
        <w:gridCol w:w="1383"/>
        <w:gridCol w:w="418"/>
        <w:gridCol w:w="849"/>
        <w:gridCol w:w="1"/>
        <w:gridCol w:w="1115"/>
        <w:gridCol w:w="191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项目</w:t>
            </w:r>
          </w:p>
        </w:tc>
        <w:tc>
          <w:tcPr>
            <w:tcW w:w="16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一类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二类</w:t>
            </w:r>
          </w:p>
        </w:tc>
        <w:tc>
          <w:tcPr>
            <w:tcW w:w="12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三类</w:t>
            </w: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简易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达标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建筑设计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视线屏蔽</w:t>
            </w:r>
          </w:p>
        </w:tc>
        <w:tc>
          <w:tcPr>
            <w:tcW w:w="4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农村公厕内应分设男、女通道，在男、女进门处应设视线屏蔽。</w:t>
            </w:r>
          </w:p>
        </w:tc>
        <w:tc>
          <w:tcPr>
            <w:tcW w:w="303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不要求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9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厕位数量</w:t>
            </w:r>
          </w:p>
        </w:tc>
        <w:tc>
          <w:tcPr>
            <w:tcW w:w="4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农村公厕男女厕位分别不宜少于3个，男女比例一般为1:1.5-1:2（具体比例可根据村庄常住人口性别情况确定）</w:t>
            </w:r>
          </w:p>
        </w:tc>
        <w:tc>
          <w:tcPr>
            <w:tcW w:w="303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不要求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洗手盆数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农村公厕总厕位数为6个时，设置洗手盆1~2个；总厕位数6个以上时，每增加4个厕位增设洗手盆1个。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给水排水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val="en-US" w:eastAsia="zh-CN" w:bidi="ar"/>
              </w:rPr>
              <w:t>给水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公厕应通水，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洗手用水应达到农村生活饮用水卫标准 ，冲厕用水应达到冲厕杂用水水质标准。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地漏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应选用耐腐蚀和水封性能可靠的地漏 ，水封深度不应小于 50mm。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粪便污水处理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三格化粪池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设置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三格化粪池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对粪便污水进行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处理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，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化粪池的位置应便于清掏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粪便污水排放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有市政污水管网时 ，经化粪池预处理的粪便污水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应当接入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市政污水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管网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；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无市政污水管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网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时，经化粪池预处理的粪便污水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可接入农村污水处理系统或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制定污水及化粪池污泥的异地处置措施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（如吸粪车定期清理）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标志牌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指向牌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在距农村公厕200m内的主要路口处应设置公厕标志方向和距离的指向牌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性别标志牌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农村公厕进出口应设明显的性别标志 ，标志应设在固定的墙体上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附属式公厕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出入口设置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附属式公共厕所不应影响主体建筑的功能，并应设置直接通至室外的单独出入口。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厕位间隔板及门</w:t>
            </w:r>
          </w:p>
        </w:tc>
        <w:tc>
          <w:tcPr>
            <w:tcW w:w="729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隔板及门的上沿距地面的高度不应小于 1．8m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大便间、小便间与洗手盆平面布置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应分区设置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宜分区设置；洗手盆男女可共用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宜分区设置；洗手盆男女可共用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洗手盆男女可共用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bidi="ar"/>
              </w:rPr>
              <w:t>管理间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1"/>
                <w:szCs w:val="21"/>
                <w:lang w:eastAsia="zh-CN" w:bidi="ar"/>
              </w:rPr>
              <w:t>或工具间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有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（附属式不要求）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管理间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视条件需要设置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，需有工具间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视条件需要设置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清洁池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有，不暴露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有，不暴露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630" w:firstLineChars="30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室内墙面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贴面砖到顶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贴面砖到顶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贴面砖到1.5m或水泥抹面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贴面砖到1.5m或水泥抹面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顶棚材料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涂料或吊顶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涂料或吊顶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涂料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涂料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坐、蹲便器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中档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中档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低挡（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大便槽）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低挡（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大便槽）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小便器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半挂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半挂（可设便槽）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半挂（可设便槽）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便器冲水设备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自动感应或人工冲便装置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自动感应或人工冲便装置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人工冲便装置、集中水箱自控冲水（用于小便槽）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人工冲便装置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无障碍厕位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视条件需要设置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无障碍通道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视条件需要设置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视条件需要设置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厕位挂钩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洗手盆</w:t>
            </w: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面镜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坐、蹲位扶手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废纸容器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19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手纸架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  <w:t>有</w:t>
            </w: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1965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Cs w:val="21"/>
                <w:lang w:eastAsia="zh-CN" w:bidi="ar"/>
              </w:rPr>
              <w:t>可不设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宋体" w:eastAsia="黑体" w:cs="黑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□不合格</w:t>
            </w:r>
          </w:p>
        </w:tc>
      </w:tr>
    </w:tbl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</w:p>
    <w:p>
      <w:pPr>
        <w:rPr>
          <w:rFonts w:hint="eastAsia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农村公厕建设图片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建设前图片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建设中图片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5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eastAsia="zh-CN" w:bidi="ar"/>
              </w:rPr>
              <w:t>建设后图片</w:t>
            </w:r>
          </w:p>
        </w:tc>
        <w:tc>
          <w:tcPr>
            <w:tcW w:w="7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vertAlign w:val="baseline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  <w:t>农村公厕评定结果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exact"/>
        <w:ind w:left="136" w:leftChars="0" w:right="0" w:rightChars="0" w:firstLine="0" w:firstLineChars="0"/>
        <w:jc w:val="left"/>
        <w:textAlignment w:val="auto"/>
        <w:outlineLvl w:val="1"/>
        <w:rPr>
          <w:rFonts w:hint="eastAsia"/>
          <w:color w:val="auto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75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总体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评价</w:t>
            </w:r>
          </w:p>
        </w:tc>
        <w:tc>
          <w:tcPr>
            <w:tcW w:w="7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整改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意见</w:t>
            </w:r>
          </w:p>
        </w:tc>
        <w:tc>
          <w:tcPr>
            <w:tcW w:w="7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评定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结论</w:t>
            </w:r>
          </w:p>
        </w:tc>
        <w:tc>
          <w:tcPr>
            <w:tcW w:w="7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14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整改后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评定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意见</w:t>
            </w:r>
          </w:p>
        </w:tc>
        <w:tc>
          <w:tcPr>
            <w:tcW w:w="754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  <w:jc w:val="center"/>
        </w:trPr>
        <w:tc>
          <w:tcPr>
            <w:tcW w:w="14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评定组人员签名</w:t>
            </w:r>
          </w:p>
        </w:tc>
        <w:tc>
          <w:tcPr>
            <w:tcW w:w="7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 w:firstLine="1280" w:firstLineChars="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 w:firstLine="1280" w:firstLineChars="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right="0" w:rightChars="0" w:firstLine="4160" w:firstLineChars="13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right="0" w:rightChars="0" w:firstLine="4160" w:firstLineChars="13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 xml:space="preserve"> 年  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月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color w:val="auto"/>
          <w:kern w:val="0"/>
          <w:sz w:val="32"/>
          <w:szCs w:val="32"/>
          <w:lang w:bidi="ar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exact"/>
        <w:ind w:left="136" w:leftChars="0" w:right="0" w:rightChars="0" w:firstLine="0" w:firstLineChars="0"/>
        <w:jc w:val="left"/>
        <w:textAlignment w:val="auto"/>
        <w:outlineLvl w:val="1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中山市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u w:val="none"/>
          <w:lang w:bidi="ar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镇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  <w:t>街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农村公厕建设管理奖补资金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 w:bidi="ar"/>
        </w:rPr>
        <w:t>请拨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color w:val="auto"/>
          <w:sz w:val="20"/>
          <w:szCs w:val="21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1270</wp:posOffset>
                </wp:positionV>
                <wp:extent cx="838200" cy="635"/>
                <wp:effectExtent l="0" t="7620" r="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0.45pt;margin-top:0.1pt;height:0.05pt;width:66pt;z-index:251659264;mso-width-relative:page;mso-height-relative:page;" filled="f" stroked="t" coordsize="21600,21600" o:gfxdata="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c7829QAAAAFAQAADwAAAAAAAAABACAAAAAiAAAAZHJzL2Rvd25yZXYueG1sUEsB&#10;AhQAFAAAAAgAh07iQEZRD9D5AQAA9AMAAA4AAAAAAAAAAQAgAAAAIwEAAGRycy9lMm9Eb2MueG1s&#10;UEsFBgAAAAAGAAYAWQEAAI4FAAAAAA==&#10;">
                <v:path arrowok="t"/>
                <v:fill on="f" focussize="0,0"/>
                <v:stroke weight="1.25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bidi="ar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4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 w:cs="宋体"/>
          <w:color w:val="auto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bidi="ar"/>
        </w:rPr>
        <w:t>镇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eastAsia="zh-CN" w:bidi="ar"/>
        </w:rPr>
        <w:t>街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bidi="ar"/>
        </w:rPr>
        <w:t xml:space="preserve">                  填表人：              手机号码：                       单位：万元</w:t>
      </w:r>
    </w:p>
    <w:tbl>
      <w:tblPr>
        <w:tblStyle w:val="5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988"/>
        <w:gridCol w:w="709"/>
        <w:gridCol w:w="1276"/>
        <w:gridCol w:w="1134"/>
        <w:gridCol w:w="709"/>
        <w:gridCol w:w="850"/>
        <w:gridCol w:w="1225"/>
        <w:gridCol w:w="850"/>
        <w:gridCol w:w="567"/>
        <w:gridCol w:w="614"/>
        <w:gridCol w:w="378"/>
        <w:gridCol w:w="567"/>
        <w:gridCol w:w="567"/>
        <w:gridCol w:w="567"/>
        <w:gridCol w:w="426"/>
        <w:gridCol w:w="992"/>
        <w:gridCol w:w="7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7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88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村居名称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建设数量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公厕名称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公厕地址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公厕类型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建设方式</w:t>
            </w:r>
          </w:p>
        </w:tc>
        <w:tc>
          <w:tcPr>
            <w:tcW w:w="1225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建设情况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验收认定类型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投资总额</w:t>
            </w:r>
          </w:p>
        </w:tc>
        <w:tc>
          <w:tcPr>
            <w:tcW w:w="3119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投资构成</w:t>
            </w:r>
          </w:p>
        </w:tc>
        <w:tc>
          <w:tcPr>
            <w:tcW w:w="992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拟申请奖补资金数额</w:t>
            </w:r>
          </w:p>
        </w:tc>
        <w:tc>
          <w:tcPr>
            <w:tcW w:w="773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7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988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25" w:type="dxa"/>
            <w:vMerge w:val="continue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614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中央</w:t>
            </w:r>
          </w:p>
        </w:tc>
        <w:tc>
          <w:tcPr>
            <w:tcW w:w="378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省</w:t>
            </w:r>
          </w:p>
        </w:tc>
        <w:tc>
          <w:tcPr>
            <w:tcW w:w="567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市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镇</w:t>
            </w:r>
          </w:p>
        </w:tc>
        <w:tc>
          <w:tcPr>
            <w:tcW w:w="567" w:type="dxa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村</w:t>
            </w:r>
          </w:p>
        </w:tc>
        <w:tc>
          <w:tcPr>
            <w:tcW w:w="426" w:type="dxa"/>
            <w:tcBorders>
              <w:top w:val="single" w:color="auto" w:sz="8" w:space="0"/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2"/>
                <w:szCs w:val="22"/>
                <w:lang w:bidi="ar"/>
              </w:rPr>
              <w:t>其他</w:t>
            </w:r>
          </w:p>
        </w:tc>
        <w:tc>
          <w:tcPr>
            <w:tcW w:w="992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73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614" w:type="dxa"/>
            <w:tcBorders>
              <w:left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37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426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614" w:type="dxa"/>
            <w:tcBorders>
              <w:left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37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426" w:type="dxa"/>
            <w:tcBorders>
              <w:left w:val="nil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7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等线"/>
                <w:color w:val="auto"/>
                <w:sz w:val="21"/>
                <w:szCs w:val="21"/>
              </w:rPr>
            </w:pPr>
            <w:r>
              <w:rPr>
                <w:rFonts w:eastAsia="等线"/>
                <w:color w:val="auto"/>
                <w:sz w:val="21"/>
                <w:szCs w:val="21"/>
              </w:rPr>
              <w:t>…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614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378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426" w:type="dxa"/>
            <w:tcBorders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color w:val="auto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6" w:hRule="atLeast"/>
          <w:jc w:val="center"/>
        </w:trPr>
        <w:tc>
          <w:tcPr>
            <w:tcW w:w="1396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4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</w:pPr>
            <w:r>
              <w:rPr>
                <w:rFonts w:hint="eastAsia" w:ascii="仿宋_GB2312" w:hAnsi="仿宋_GB2312" w:cs="仿宋_GB2312"/>
                <w:color w:val="auto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 w:bidi="ar"/>
              </w:rPr>
              <w:t>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审核意见：本镇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 w:bidi="ar"/>
              </w:rPr>
              <w:t>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年度共建设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座农村公厕，其中：新建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座，改建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座，经验收，达到一类标准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座，二类标准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座，三类标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准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座，简易标准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座。共投入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万元，合计申请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24"/>
                <w:lang w:val="en-US" w:eastAsia="zh-CN" w:bidi="ar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奖补资金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bidi="ar"/>
              </w:rPr>
              <w:t>万元。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镇人民政府（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街道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办事处）（盖章）：                     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分管领导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（签字）：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bidi="ar"/>
        </w:rPr>
        <w:t>填表说明：1、公厕类型填报“独立式”或“附属式”；2、建设方式填报“新建”或“改建”；3、建设情况需说明公厕建设必要性和建设的内容；4、验收认定类型是指竣工验收达到省一类、二类、三类、简易标准；5、投资总额是指公厕建设实际费用，其中市资金不包括此次申请金额，镇资金指镇财政补助，村资金指村自有资金的投入，其他资金是指社会各界的投资或捐资</w:t>
      </w:r>
      <w:r>
        <w:rPr>
          <w:rFonts w:hint="eastAsia" w:ascii="仿宋_GB2312" w:hAnsi="仿宋_GB2312" w:cs="仿宋_GB2312"/>
          <w:color w:val="auto"/>
          <w:kern w:val="0"/>
          <w:sz w:val="24"/>
          <w:lang w:eastAsia="zh-CN" w:bidi="ar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A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/>
      <w:ind w:left="139"/>
      <w:jc w:val="left"/>
      <w:outlineLvl w:val="1"/>
    </w:pPr>
    <w:rPr>
      <w:rFonts w:ascii="宋体" w:hAnsi="宋体" w:eastAsia="宋体" w:cs="Times New Roman"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2023-08-31T09:14:16Z</dcterms:created>
  <dc:creator>Administrator</dc:creator>
  <cp:lastModifiedBy>朱任翔</cp:lastModifiedBy>
  <dcterms:modified xsi:type="dcterms:W3CDTF">2023-08-31T09:14:26Z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7CDA8CAF34B249748F8800C6B3F51F30</vt:lpwstr>
  </property>
</Properties>
</file>